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0D777">
      <w:pPr>
        <w:spacing w:line="560" w:lineRule="exact"/>
        <w:jc w:val="center"/>
        <w:rPr>
          <w:rFonts w:eastAsia="微软雅黑"/>
          <w:b/>
          <w:sz w:val="44"/>
          <w:szCs w:val="44"/>
        </w:rPr>
      </w:pPr>
      <w:r>
        <w:rPr>
          <w:rFonts w:hint="eastAsia" w:eastAsia="微软雅黑"/>
          <w:b/>
          <w:sz w:val="44"/>
          <w:szCs w:val="44"/>
          <w:u w:val="none"/>
          <w:lang w:val="en-US" w:eastAsia="zh-CN"/>
        </w:rPr>
        <w:t>2026</w:t>
      </w:r>
      <w:bookmarkStart w:id="0" w:name="_GoBack"/>
      <w:bookmarkEnd w:id="0"/>
      <w:r>
        <w:rPr>
          <w:rFonts w:eastAsia="微软雅黑"/>
          <w:b/>
          <w:sz w:val="44"/>
          <w:szCs w:val="44"/>
        </w:rPr>
        <w:t>年硕士研究生入学考试自命题科目</w:t>
      </w:r>
    </w:p>
    <w:p w14:paraId="19AACD33">
      <w:pPr>
        <w:spacing w:line="560" w:lineRule="exact"/>
        <w:jc w:val="center"/>
        <w:rPr>
          <w:rFonts w:eastAsia="微软雅黑"/>
          <w:bCs/>
          <w:sz w:val="44"/>
          <w:szCs w:val="44"/>
        </w:rPr>
      </w:pPr>
      <w:r>
        <w:rPr>
          <w:rFonts w:eastAsia="微软雅黑"/>
          <w:b/>
          <w:sz w:val="44"/>
          <w:szCs w:val="44"/>
        </w:rPr>
        <w:t>考试大纲</w:t>
      </w:r>
    </w:p>
    <w:tbl>
      <w:tblPr>
        <w:tblStyle w:val="3"/>
        <w:tblW w:w="9143" w:type="dxa"/>
        <w:jc w:val="center"/>
        <w:tblLayout w:type="fixed"/>
        <w:tblCellMar>
          <w:top w:w="0" w:type="dxa"/>
          <w:left w:w="108" w:type="dxa"/>
          <w:bottom w:w="0" w:type="dxa"/>
          <w:right w:w="108" w:type="dxa"/>
        </w:tblCellMar>
      </w:tblPr>
      <w:tblGrid>
        <w:gridCol w:w="6601"/>
        <w:gridCol w:w="2542"/>
      </w:tblGrid>
      <w:tr w14:paraId="6426691A">
        <w:tblPrEx>
          <w:tblCellMar>
            <w:top w:w="0" w:type="dxa"/>
            <w:left w:w="108" w:type="dxa"/>
            <w:bottom w:w="0" w:type="dxa"/>
            <w:right w:w="108" w:type="dxa"/>
          </w:tblCellMar>
        </w:tblPrEx>
        <w:trPr>
          <w:trHeight w:val="520" w:hRule="atLeast"/>
          <w:jc w:val="center"/>
        </w:trPr>
        <w:tc>
          <w:tcPr>
            <w:tcW w:w="6601" w:type="dxa"/>
          </w:tcPr>
          <w:p w14:paraId="07097252">
            <w:pPr>
              <w:spacing w:after="100" w:afterAutospacing="1"/>
              <w:rPr>
                <w:rFonts w:hint="eastAsia" w:ascii="仿宋" w:hAnsi="仿宋" w:eastAsia="仿宋" w:cs="仿宋"/>
                <w:bCs/>
                <w:sz w:val="28"/>
                <w:szCs w:val="28"/>
                <w:lang w:eastAsia="zh-CN"/>
              </w:rPr>
            </w:pPr>
            <w:r>
              <w:rPr>
                <w:rFonts w:hint="eastAsia" w:ascii="仿宋" w:hAnsi="仿宋" w:eastAsia="仿宋" w:cs="仿宋"/>
                <w:bCs/>
                <w:sz w:val="28"/>
                <w:szCs w:val="28"/>
              </w:rPr>
              <w:t>考试阶段：</w:t>
            </w:r>
            <w:r>
              <w:rPr>
                <w:rFonts w:hint="eastAsia" w:ascii="仿宋" w:hAnsi="仿宋" w:eastAsia="仿宋" w:cs="仿宋"/>
                <w:bCs/>
                <w:sz w:val="28"/>
                <w:szCs w:val="28"/>
                <w:lang w:val="en-US" w:eastAsia="zh-CN"/>
              </w:rPr>
              <w:t>复试（同等学力加试2）</w:t>
            </w:r>
          </w:p>
        </w:tc>
        <w:tc>
          <w:tcPr>
            <w:tcW w:w="2542" w:type="dxa"/>
          </w:tcPr>
          <w:p w14:paraId="0E07108F">
            <w:pPr>
              <w:spacing w:after="100" w:afterAutospacing="1"/>
              <w:rPr>
                <w:rFonts w:hint="eastAsia" w:ascii="仿宋" w:hAnsi="仿宋" w:eastAsia="仿宋" w:cs="仿宋"/>
                <w:bCs/>
                <w:sz w:val="28"/>
                <w:szCs w:val="28"/>
                <w:lang w:val="en-US" w:eastAsia="zh-CN"/>
              </w:rPr>
            </w:pPr>
            <w:r>
              <w:rPr>
                <w:rFonts w:hint="eastAsia" w:ascii="仿宋" w:hAnsi="仿宋" w:eastAsia="仿宋" w:cs="仿宋"/>
                <w:bCs/>
                <w:sz w:val="28"/>
                <w:szCs w:val="28"/>
              </w:rPr>
              <w:t>科目满分值：</w:t>
            </w:r>
            <w:r>
              <w:rPr>
                <w:rFonts w:hint="eastAsia" w:ascii="仿宋" w:hAnsi="仿宋" w:eastAsia="仿宋" w:cs="仿宋"/>
                <w:bCs/>
                <w:sz w:val="28"/>
                <w:szCs w:val="28"/>
                <w:lang w:val="en-US" w:eastAsia="zh-CN"/>
              </w:rPr>
              <w:t>100</w:t>
            </w:r>
          </w:p>
        </w:tc>
      </w:tr>
      <w:tr w14:paraId="5376B0E8">
        <w:tblPrEx>
          <w:tblCellMar>
            <w:top w:w="0" w:type="dxa"/>
            <w:left w:w="108" w:type="dxa"/>
            <w:bottom w:w="0" w:type="dxa"/>
            <w:right w:w="108" w:type="dxa"/>
          </w:tblCellMar>
        </w:tblPrEx>
        <w:trPr>
          <w:trHeight w:val="520" w:hRule="atLeast"/>
          <w:jc w:val="center"/>
        </w:trPr>
        <w:tc>
          <w:tcPr>
            <w:tcW w:w="6601" w:type="dxa"/>
          </w:tcPr>
          <w:p w14:paraId="16E5F170">
            <w:pPr>
              <w:spacing w:after="100" w:afterAutospacing="1"/>
              <w:rPr>
                <w:rFonts w:hint="eastAsia" w:ascii="仿宋" w:hAnsi="仿宋" w:eastAsia="仿宋" w:cs="仿宋"/>
                <w:bCs/>
                <w:sz w:val="28"/>
                <w:szCs w:val="28"/>
                <w:lang w:val="en-US" w:eastAsia="zh-CN"/>
              </w:rPr>
            </w:pPr>
            <w:r>
              <w:rPr>
                <w:rFonts w:hint="eastAsia" w:ascii="仿宋" w:hAnsi="仿宋" w:eastAsia="仿宋" w:cs="仿宋"/>
                <w:bCs/>
                <w:sz w:val="28"/>
                <w:szCs w:val="28"/>
              </w:rPr>
              <w:t>考试科目：</w:t>
            </w:r>
            <w:r>
              <w:rPr>
                <w:rFonts w:hint="eastAsia" w:ascii="仿宋" w:hAnsi="仿宋" w:eastAsia="仿宋" w:cs="仿宋"/>
                <w:bCs/>
                <w:sz w:val="28"/>
                <w:szCs w:val="28"/>
                <w:lang w:val="en-US" w:eastAsia="zh-CN"/>
              </w:rPr>
              <w:t>习近平新时代中国特色社会主义思想概论</w:t>
            </w:r>
          </w:p>
        </w:tc>
        <w:tc>
          <w:tcPr>
            <w:tcW w:w="2542" w:type="dxa"/>
          </w:tcPr>
          <w:p w14:paraId="6FB6E45D">
            <w:pPr>
              <w:spacing w:after="100" w:afterAutospacing="1"/>
              <w:rPr>
                <w:rFonts w:hint="eastAsia" w:ascii="仿宋" w:hAnsi="仿宋" w:eastAsia="仿宋" w:cs="仿宋"/>
                <w:bCs/>
                <w:sz w:val="28"/>
                <w:szCs w:val="28"/>
              </w:rPr>
            </w:pPr>
            <w:r>
              <w:rPr>
                <w:rFonts w:hint="eastAsia" w:ascii="仿宋" w:hAnsi="仿宋" w:eastAsia="仿宋" w:cs="仿宋"/>
                <w:bCs/>
                <w:sz w:val="28"/>
                <w:szCs w:val="28"/>
              </w:rPr>
              <w:t>科目代码：</w:t>
            </w:r>
          </w:p>
        </w:tc>
      </w:tr>
      <w:tr w14:paraId="54B4F118">
        <w:tblPrEx>
          <w:tblCellMar>
            <w:top w:w="0" w:type="dxa"/>
            <w:left w:w="108" w:type="dxa"/>
            <w:bottom w:w="0" w:type="dxa"/>
            <w:right w:w="108" w:type="dxa"/>
          </w:tblCellMar>
        </w:tblPrEx>
        <w:trPr>
          <w:trHeight w:val="520" w:hRule="atLeast"/>
          <w:jc w:val="center"/>
        </w:trPr>
        <w:tc>
          <w:tcPr>
            <w:tcW w:w="6601" w:type="dxa"/>
          </w:tcPr>
          <w:p w14:paraId="187C509B">
            <w:pPr>
              <w:spacing w:after="100" w:afterAutospacing="1"/>
              <w:rPr>
                <w:rFonts w:hint="eastAsia" w:ascii="仿宋" w:hAnsi="仿宋" w:eastAsia="仿宋" w:cs="仿宋"/>
                <w:bCs/>
                <w:sz w:val="28"/>
                <w:szCs w:val="28"/>
              </w:rPr>
            </w:pPr>
            <w:r>
              <w:rPr>
                <w:rFonts w:hint="eastAsia" w:ascii="仿宋" w:hAnsi="仿宋" w:eastAsia="仿宋" w:cs="仿宋"/>
                <w:bCs/>
                <w:sz w:val="28"/>
                <w:szCs w:val="28"/>
              </w:rPr>
              <w:t>考试方式：闭卷笔试</w:t>
            </w:r>
          </w:p>
        </w:tc>
        <w:tc>
          <w:tcPr>
            <w:tcW w:w="2542" w:type="dxa"/>
          </w:tcPr>
          <w:p w14:paraId="0D813D10">
            <w:pPr>
              <w:spacing w:after="100" w:afterAutospacing="1"/>
              <w:rPr>
                <w:rFonts w:hint="eastAsia" w:ascii="仿宋" w:hAnsi="仿宋" w:eastAsia="仿宋" w:cs="仿宋"/>
                <w:bCs/>
                <w:sz w:val="28"/>
                <w:szCs w:val="28"/>
              </w:rPr>
            </w:pPr>
            <w:r>
              <w:rPr>
                <w:rFonts w:hint="eastAsia" w:ascii="仿宋" w:hAnsi="仿宋" w:eastAsia="仿宋" w:cs="仿宋"/>
                <w:bCs/>
                <w:sz w:val="28"/>
                <w:szCs w:val="28"/>
              </w:rPr>
              <w:t>考试时长：180分钟</w:t>
            </w:r>
          </w:p>
        </w:tc>
      </w:tr>
    </w:tbl>
    <w:p w14:paraId="470593F3">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黑体"/>
          <w:b/>
          <w:bCs/>
          <w:sz w:val="28"/>
          <w:szCs w:val="28"/>
        </w:rPr>
      </w:pPr>
      <w:r>
        <w:rPr>
          <w:rFonts w:eastAsia="黑体"/>
          <w:b/>
          <w:bCs/>
          <w:sz w:val="28"/>
          <w:szCs w:val="28"/>
        </w:rPr>
        <w:t>一、</w:t>
      </w:r>
      <w:r>
        <w:rPr>
          <w:rFonts w:hint="eastAsia" w:eastAsia="黑体"/>
          <w:b/>
          <w:bCs/>
          <w:sz w:val="28"/>
          <w:szCs w:val="28"/>
        </w:rPr>
        <w:t>科目</w:t>
      </w:r>
      <w:r>
        <w:rPr>
          <w:rFonts w:eastAsia="黑体"/>
          <w:b/>
          <w:bCs/>
          <w:sz w:val="28"/>
          <w:szCs w:val="28"/>
        </w:rPr>
        <w:t>的总体要求</w:t>
      </w:r>
    </w:p>
    <w:p w14:paraId="23BEA99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了解掌握习近平新时代中国特色社会主义思想的核心要义和主要内容，透彻领会这一思想如何系统地回答了新时代坚持和发展什么样的中国特色社会主义、怎样坚持和发展中国特色社会主义这个重大时代课题。深刻把握习近平新时代中国特色社会主义思想对共产党执政规律、社会主义建设规律、人类社会发展规律的认识，以及其对发展马克思主义作出的原创性贡献。</w:t>
      </w:r>
    </w:p>
    <w:p w14:paraId="6DFBEDBF">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黑体"/>
          <w:b/>
          <w:sz w:val="28"/>
          <w:szCs w:val="28"/>
        </w:rPr>
      </w:pPr>
      <w:r>
        <w:rPr>
          <w:rFonts w:eastAsia="黑体"/>
          <w:b/>
          <w:sz w:val="28"/>
          <w:szCs w:val="28"/>
        </w:rPr>
        <w:t>二、</w:t>
      </w:r>
      <w:r>
        <w:rPr>
          <w:rFonts w:hint="eastAsia" w:eastAsia="黑体"/>
          <w:b/>
          <w:sz w:val="28"/>
          <w:szCs w:val="28"/>
        </w:rPr>
        <w:t>考核内容与考核要求</w:t>
      </w:r>
    </w:p>
    <w:p w14:paraId="591C8144">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 xml:space="preserve">导论  </w:t>
      </w:r>
    </w:p>
    <w:p w14:paraId="1C5CB591">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一、</w:t>
      </w:r>
      <w:r>
        <w:rPr>
          <w:rFonts w:hint="eastAsia" w:ascii="仿宋" w:hAnsi="仿宋" w:eastAsia="仿宋" w:cs="仿宋"/>
          <w:bCs/>
          <w:sz w:val="28"/>
          <w:szCs w:val="28"/>
          <w:lang w:val="en-US" w:eastAsia="zh-CN"/>
        </w:rPr>
        <w:t>新时代坚持和发展中国特色社会主义</w:t>
      </w:r>
    </w:p>
    <w:p w14:paraId="74547100">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二、</w:t>
      </w:r>
      <w:r>
        <w:rPr>
          <w:rFonts w:hint="eastAsia" w:ascii="仿宋" w:hAnsi="仿宋" w:eastAsia="仿宋" w:cs="仿宋"/>
          <w:bCs/>
          <w:sz w:val="28"/>
          <w:szCs w:val="28"/>
          <w:lang w:val="en-US" w:eastAsia="zh-CN"/>
        </w:rPr>
        <w:t>以中国式现代化全面推进中华民族伟大复兴</w:t>
      </w:r>
    </w:p>
    <w:p w14:paraId="13A49811">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三、</w:t>
      </w:r>
      <w:r>
        <w:rPr>
          <w:rFonts w:hint="eastAsia" w:ascii="仿宋" w:hAnsi="仿宋" w:eastAsia="仿宋" w:cs="仿宋"/>
          <w:bCs/>
          <w:sz w:val="28"/>
          <w:szCs w:val="28"/>
          <w:lang w:val="en-US" w:eastAsia="zh-CN"/>
        </w:rPr>
        <w:t>坚持党的全面领导</w:t>
      </w:r>
    </w:p>
    <w:p w14:paraId="68381217">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四、</w:t>
      </w:r>
      <w:r>
        <w:rPr>
          <w:rFonts w:hint="eastAsia" w:ascii="仿宋" w:hAnsi="仿宋" w:eastAsia="仿宋" w:cs="仿宋"/>
          <w:bCs/>
          <w:sz w:val="28"/>
          <w:szCs w:val="28"/>
          <w:lang w:val="en-US" w:eastAsia="zh-CN"/>
        </w:rPr>
        <w:t>坚持以人民为中心</w:t>
      </w:r>
    </w:p>
    <w:p w14:paraId="621CC627">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五、</w:t>
      </w:r>
      <w:r>
        <w:rPr>
          <w:rFonts w:hint="eastAsia" w:ascii="仿宋" w:hAnsi="仿宋" w:eastAsia="仿宋" w:cs="仿宋"/>
          <w:bCs/>
          <w:sz w:val="28"/>
          <w:szCs w:val="28"/>
          <w:lang w:val="en-US" w:eastAsia="zh-CN"/>
        </w:rPr>
        <w:t>全面深化改革</w:t>
      </w:r>
    </w:p>
    <w:p w14:paraId="1BF442F4">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六、</w:t>
      </w:r>
      <w:r>
        <w:rPr>
          <w:rFonts w:hint="eastAsia" w:ascii="仿宋" w:hAnsi="仿宋" w:eastAsia="仿宋" w:cs="仿宋"/>
          <w:bCs/>
          <w:sz w:val="28"/>
          <w:szCs w:val="28"/>
          <w:lang w:val="en-US" w:eastAsia="zh-CN"/>
        </w:rPr>
        <w:t>推动高质量发展</w:t>
      </w:r>
    </w:p>
    <w:p w14:paraId="7E925705">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七、</w:t>
      </w:r>
      <w:r>
        <w:rPr>
          <w:rFonts w:hint="eastAsia" w:ascii="仿宋" w:hAnsi="仿宋" w:eastAsia="仿宋" w:cs="仿宋"/>
          <w:bCs/>
          <w:sz w:val="28"/>
          <w:szCs w:val="28"/>
          <w:lang w:val="en-US" w:eastAsia="zh-CN"/>
        </w:rPr>
        <w:t>社会主义现代化建设的教育、科技、人才战略</w:t>
      </w:r>
    </w:p>
    <w:p w14:paraId="271ACED5">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八</w:t>
      </w:r>
      <w:r>
        <w:rPr>
          <w:rFonts w:hint="eastAsia" w:ascii="仿宋" w:hAnsi="仿宋" w:eastAsia="仿宋" w:cs="仿宋"/>
          <w:bCs/>
          <w:sz w:val="28"/>
          <w:szCs w:val="28"/>
        </w:rPr>
        <w:t>、</w:t>
      </w:r>
      <w:r>
        <w:rPr>
          <w:rFonts w:hint="eastAsia" w:ascii="仿宋" w:hAnsi="仿宋" w:eastAsia="仿宋" w:cs="仿宋"/>
          <w:bCs/>
          <w:sz w:val="28"/>
          <w:szCs w:val="28"/>
          <w:lang w:val="en-US" w:eastAsia="zh-CN"/>
        </w:rPr>
        <w:t>发展全过程人人民民主</w:t>
      </w:r>
    </w:p>
    <w:p w14:paraId="1A4EFAC0">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九、</w:t>
      </w:r>
      <w:r>
        <w:rPr>
          <w:rFonts w:hint="eastAsia" w:ascii="仿宋" w:hAnsi="仿宋" w:eastAsia="仿宋" w:cs="仿宋"/>
          <w:bCs/>
          <w:sz w:val="28"/>
          <w:szCs w:val="28"/>
          <w:lang w:val="en-US" w:eastAsia="zh-CN"/>
        </w:rPr>
        <w:t>全面依法治国</w:t>
      </w:r>
    </w:p>
    <w:p w14:paraId="659CD554">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十、</w:t>
      </w:r>
      <w:r>
        <w:rPr>
          <w:rFonts w:hint="eastAsia" w:ascii="仿宋" w:hAnsi="仿宋" w:eastAsia="仿宋" w:cs="仿宋"/>
          <w:bCs/>
          <w:sz w:val="28"/>
          <w:szCs w:val="28"/>
          <w:lang w:val="en-US" w:eastAsia="zh-CN"/>
        </w:rPr>
        <w:t>建设社会主义文化强国</w:t>
      </w:r>
    </w:p>
    <w:p w14:paraId="6FF483DE">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十一、</w:t>
      </w:r>
      <w:r>
        <w:rPr>
          <w:rFonts w:hint="eastAsia" w:ascii="仿宋" w:hAnsi="仿宋" w:eastAsia="仿宋" w:cs="仿宋"/>
          <w:bCs/>
          <w:sz w:val="28"/>
          <w:szCs w:val="28"/>
          <w:lang w:val="en-US" w:eastAsia="zh-CN"/>
        </w:rPr>
        <w:t>以保障和改善民生为重点加强社会建设</w:t>
      </w:r>
    </w:p>
    <w:p w14:paraId="69AA4BA5">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十二、</w:t>
      </w:r>
      <w:r>
        <w:rPr>
          <w:rFonts w:hint="eastAsia" w:ascii="仿宋" w:hAnsi="仿宋" w:eastAsia="仿宋" w:cs="仿宋"/>
          <w:bCs/>
          <w:sz w:val="28"/>
          <w:szCs w:val="28"/>
          <w:lang w:val="en-US" w:eastAsia="zh-CN"/>
        </w:rPr>
        <w:t>建设社会主义生态文明</w:t>
      </w:r>
    </w:p>
    <w:p w14:paraId="240942C9">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十三、</w:t>
      </w:r>
      <w:r>
        <w:rPr>
          <w:rFonts w:hint="eastAsia" w:ascii="仿宋" w:hAnsi="仿宋" w:eastAsia="仿宋" w:cs="仿宋"/>
          <w:bCs/>
          <w:sz w:val="28"/>
          <w:szCs w:val="28"/>
          <w:lang w:val="en-US" w:eastAsia="zh-CN"/>
        </w:rPr>
        <w:t>维护和塑造国家安全</w:t>
      </w:r>
    </w:p>
    <w:p w14:paraId="46D23A95">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十四、</w:t>
      </w:r>
      <w:r>
        <w:rPr>
          <w:rFonts w:hint="eastAsia" w:ascii="仿宋" w:hAnsi="仿宋" w:eastAsia="仿宋" w:cs="仿宋"/>
          <w:bCs/>
          <w:sz w:val="28"/>
          <w:szCs w:val="28"/>
          <w:lang w:val="en-US" w:eastAsia="zh-CN"/>
        </w:rPr>
        <w:t>建设巩固国防和强大人民军队</w:t>
      </w:r>
    </w:p>
    <w:p w14:paraId="0D3ED420">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十五、</w:t>
      </w:r>
      <w:r>
        <w:rPr>
          <w:rFonts w:hint="eastAsia" w:ascii="仿宋" w:hAnsi="仿宋" w:eastAsia="仿宋" w:cs="仿宋"/>
          <w:bCs/>
          <w:sz w:val="28"/>
          <w:szCs w:val="28"/>
          <w:lang w:val="en-US" w:eastAsia="zh-CN"/>
        </w:rPr>
        <w:t>坚持“一国两制”和推进祖国完全统一</w:t>
      </w:r>
    </w:p>
    <w:p w14:paraId="4730E52F">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十六、</w:t>
      </w:r>
      <w:r>
        <w:rPr>
          <w:rFonts w:hint="eastAsia" w:ascii="仿宋" w:hAnsi="仿宋" w:eastAsia="仿宋" w:cs="仿宋"/>
          <w:bCs/>
          <w:sz w:val="28"/>
          <w:szCs w:val="28"/>
          <w:lang w:val="en-US" w:eastAsia="zh-CN"/>
        </w:rPr>
        <w:t>中国特色大国外交和推动构建人类命运共同体</w:t>
      </w:r>
    </w:p>
    <w:p w14:paraId="037032E3">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十七、</w:t>
      </w:r>
      <w:r>
        <w:rPr>
          <w:rFonts w:hint="eastAsia" w:ascii="仿宋" w:hAnsi="仿宋" w:eastAsia="仿宋" w:cs="仿宋"/>
          <w:bCs/>
          <w:sz w:val="28"/>
          <w:szCs w:val="28"/>
          <w:lang w:val="en-US" w:eastAsia="zh-CN"/>
        </w:rPr>
        <w:t>全面从严治党</w:t>
      </w:r>
    </w:p>
    <w:p w14:paraId="41D19577">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eastAsia="仿宋_GB2312"/>
          <w:bCs/>
          <w:sz w:val="28"/>
          <w:szCs w:val="28"/>
          <w:lang w:val="en-US" w:eastAsia="zh-CN"/>
        </w:rPr>
      </w:pPr>
      <w:r>
        <w:rPr>
          <w:rFonts w:hint="eastAsia" w:ascii="仿宋" w:hAnsi="仿宋" w:eastAsia="仿宋" w:cs="仿宋"/>
          <w:bCs/>
          <w:sz w:val="28"/>
          <w:szCs w:val="28"/>
          <w:lang w:val="en-US" w:eastAsia="zh-CN"/>
        </w:rPr>
        <w:t>主要考核对新时代坚持和发展中国特色社会主义思想的总目标、总任务、总体布局、战略布局和发展方向、发展方式、发展动力、战略步骤、外部条件、政治保证等基本问题的理解掌握。</w:t>
      </w:r>
    </w:p>
    <w:p w14:paraId="51BCD4C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仿宋_GB2312"/>
          <w:sz w:val="28"/>
          <w:szCs w:val="28"/>
        </w:rPr>
      </w:pPr>
      <w:r>
        <w:rPr>
          <w:rFonts w:eastAsia="黑体"/>
          <w:b/>
          <w:sz w:val="28"/>
          <w:szCs w:val="28"/>
        </w:rPr>
        <w:t>三、题型</w:t>
      </w:r>
      <w:r>
        <w:rPr>
          <w:rFonts w:hint="eastAsia" w:eastAsia="黑体"/>
          <w:b/>
          <w:sz w:val="28"/>
          <w:szCs w:val="28"/>
        </w:rPr>
        <w:t>结构</w:t>
      </w:r>
    </w:p>
    <w:p w14:paraId="60651ED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考试采用主观题的形式，题型包含</w:t>
      </w:r>
      <w:r>
        <w:rPr>
          <w:rFonts w:hint="eastAsia" w:ascii="仿宋" w:hAnsi="仿宋" w:eastAsia="仿宋" w:cs="仿宋"/>
          <w:sz w:val="28"/>
          <w:szCs w:val="28"/>
        </w:rPr>
        <w:t>简答题</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辨析题、</w:t>
      </w:r>
      <w:r>
        <w:rPr>
          <w:rFonts w:hint="eastAsia" w:ascii="仿宋" w:hAnsi="仿宋" w:eastAsia="仿宋" w:cs="仿宋"/>
          <w:sz w:val="28"/>
          <w:szCs w:val="28"/>
        </w:rPr>
        <w:t>论述题</w:t>
      </w:r>
      <w:r>
        <w:rPr>
          <w:rFonts w:hint="eastAsia" w:ascii="仿宋" w:hAnsi="仿宋" w:eastAsia="仿宋" w:cs="仿宋"/>
          <w:sz w:val="28"/>
          <w:szCs w:val="28"/>
          <w:lang w:val="en-US" w:eastAsia="zh-CN"/>
        </w:rPr>
        <w:t>。</w:t>
      </w:r>
    </w:p>
    <w:p w14:paraId="60F6F1F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黑体"/>
          <w:b/>
          <w:sz w:val="28"/>
          <w:szCs w:val="28"/>
          <w:lang w:val="en-US" w:eastAsia="zh-CN"/>
        </w:rPr>
      </w:pPr>
      <w:r>
        <w:rPr>
          <w:rFonts w:eastAsia="黑体"/>
          <w:b/>
          <w:sz w:val="28"/>
          <w:szCs w:val="28"/>
        </w:rPr>
        <w:t>四、</w:t>
      </w:r>
      <w:r>
        <w:rPr>
          <w:rFonts w:hint="eastAsia" w:eastAsia="黑体"/>
          <w:b/>
          <w:sz w:val="28"/>
          <w:szCs w:val="28"/>
          <w:lang w:val="en-US" w:eastAsia="zh-CN"/>
        </w:rPr>
        <w:t>参考书目</w:t>
      </w:r>
    </w:p>
    <w:p w14:paraId="337788E0">
      <w:pPr>
        <w:pStyle w:val="2"/>
        <w:spacing w:beforeLines="0" w:afterLines="0" w:line="24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《习近平新时代中国特色社会主义思想概论》，高等教育出版社、人民出版社，2023年。</w:t>
      </w:r>
    </w:p>
    <w:p w14:paraId="4B6FD87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eastAsia="仿宋_GB2312"/>
          <w:sz w:val="28"/>
          <w:szCs w:val="28"/>
          <w:lang w:val="en-US" w:eastAsia="zh-CN"/>
        </w:rPr>
      </w:pPr>
    </w:p>
    <w:sectPr>
      <w:pgSz w:w="11906" w:h="16838"/>
      <w:pgMar w:top="1440" w:right="1644" w:bottom="156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076EA03-7F5E-4C03-BB53-7C8A9BA6CB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2" w:fontKey="{C12A78B7-BD2B-482C-B970-00D7DF82D199}"/>
  </w:font>
  <w:font w:name="仿宋">
    <w:panose1 w:val="02010609060101010101"/>
    <w:charset w:val="86"/>
    <w:family w:val="auto"/>
    <w:pitch w:val="default"/>
    <w:sig w:usb0="800002BF" w:usb1="38CF7CFA" w:usb2="00000016" w:usb3="00000000" w:csb0="00040001" w:csb1="00000000"/>
    <w:embedRegular r:id="rId3" w:fontKey="{2B6D085B-AC01-47A8-91CB-21D2920E3744}"/>
  </w:font>
  <w:font w:name="仿宋_GB2312">
    <w:panose1 w:val="02010609030101010101"/>
    <w:charset w:val="86"/>
    <w:family w:val="modern"/>
    <w:pitch w:val="default"/>
    <w:sig w:usb0="00000001" w:usb1="080E0000" w:usb2="00000000" w:usb3="00000000" w:csb0="00040000" w:csb1="00000000"/>
    <w:embedRegular r:id="rId4" w:fontKey="{B02FEC65-B794-432E-B136-6E97EB1B1BC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jNmE3OWFjMmIwYzliN2VkNDM5NDBlZWUyNzA1YTMifQ=="/>
  </w:docVars>
  <w:rsids>
    <w:rsidRoot w:val="00172A27"/>
    <w:rsid w:val="02720839"/>
    <w:rsid w:val="02C941D1"/>
    <w:rsid w:val="033C2BF5"/>
    <w:rsid w:val="0354779F"/>
    <w:rsid w:val="050634BB"/>
    <w:rsid w:val="05DE61E6"/>
    <w:rsid w:val="05E05ABA"/>
    <w:rsid w:val="065E064D"/>
    <w:rsid w:val="069C5032"/>
    <w:rsid w:val="07320CEB"/>
    <w:rsid w:val="073F4D47"/>
    <w:rsid w:val="07D77390"/>
    <w:rsid w:val="07FF6803"/>
    <w:rsid w:val="08046510"/>
    <w:rsid w:val="08613B54"/>
    <w:rsid w:val="09664528"/>
    <w:rsid w:val="0ACC1C1F"/>
    <w:rsid w:val="0BB51797"/>
    <w:rsid w:val="0CB66415"/>
    <w:rsid w:val="0CF602B9"/>
    <w:rsid w:val="0CF91F3F"/>
    <w:rsid w:val="0D6E42F3"/>
    <w:rsid w:val="0E2F5830"/>
    <w:rsid w:val="0E7B0A75"/>
    <w:rsid w:val="0FC401FA"/>
    <w:rsid w:val="0FF8756B"/>
    <w:rsid w:val="103C2486"/>
    <w:rsid w:val="1045133B"/>
    <w:rsid w:val="104D0D5E"/>
    <w:rsid w:val="10681220"/>
    <w:rsid w:val="108654B0"/>
    <w:rsid w:val="10AA3894"/>
    <w:rsid w:val="110164D7"/>
    <w:rsid w:val="11101B82"/>
    <w:rsid w:val="11D24E50"/>
    <w:rsid w:val="11D861DF"/>
    <w:rsid w:val="121F3E0E"/>
    <w:rsid w:val="124E024F"/>
    <w:rsid w:val="1284144D"/>
    <w:rsid w:val="13B81E24"/>
    <w:rsid w:val="13E26EA1"/>
    <w:rsid w:val="14290F74"/>
    <w:rsid w:val="147E306D"/>
    <w:rsid w:val="15AA7E92"/>
    <w:rsid w:val="15F01B95"/>
    <w:rsid w:val="16D056D6"/>
    <w:rsid w:val="16EB2510"/>
    <w:rsid w:val="16FF6EEB"/>
    <w:rsid w:val="17342109"/>
    <w:rsid w:val="173B3498"/>
    <w:rsid w:val="17BA0860"/>
    <w:rsid w:val="18EA59CA"/>
    <w:rsid w:val="193463F1"/>
    <w:rsid w:val="19483C4A"/>
    <w:rsid w:val="19754781"/>
    <w:rsid w:val="19810F0A"/>
    <w:rsid w:val="1981715C"/>
    <w:rsid w:val="19E33973"/>
    <w:rsid w:val="1A5328A6"/>
    <w:rsid w:val="1AEB0D31"/>
    <w:rsid w:val="1C0C71B1"/>
    <w:rsid w:val="1C314E69"/>
    <w:rsid w:val="1D41732E"/>
    <w:rsid w:val="1D7368C2"/>
    <w:rsid w:val="1DEF0904"/>
    <w:rsid w:val="1EBF6FD6"/>
    <w:rsid w:val="1F3C5FFF"/>
    <w:rsid w:val="1FBF278C"/>
    <w:rsid w:val="1FDB587C"/>
    <w:rsid w:val="20012DA5"/>
    <w:rsid w:val="201445BD"/>
    <w:rsid w:val="21627873"/>
    <w:rsid w:val="223631D9"/>
    <w:rsid w:val="225673D8"/>
    <w:rsid w:val="22C32593"/>
    <w:rsid w:val="22C554E9"/>
    <w:rsid w:val="231352C9"/>
    <w:rsid w:val="233A4603"/>
    <w:rsid w:val="23D507D0"/>
    <w:rsid w:val="23D83E1C"/>
    <w:rsid w:val="23DC390D"/>
    <w:rsid w:val="24960346"/>
    <w:rsid w:val="24E60BC8"/>
    <w:rsid w:val="24F36CDD"/>
    <w:rsid w:val="25606534"/>
    <w:rsid w:val="25EB6089"/>
    <w:rsid w:val="26F7280B"/>
    <w:rsid w:val="270310C0"/>
    <w:rsid w:val="285C326E"/>
    <w:rsid w:val="28C17F3F"/>
    <w:rsid w:val="29982084"/>
    <w:rsid w:val="2A043BBD"/>
    <w:rsid w:val="2A9F1562"/>
    <w:rsid w:val="2AD90BA6"/>
    <w:rsid w:val="2BD80E5D"/>
    <w:rsid w:val="2C5C1A8E"/>
    <w:rsid w:val="2C98491D"/>
    <w:rsid w:val="2CDE06F5"/>
    <w:rsid w:val="2D0D2D89"/>
    <w:rsid w:val="2DF85232"/>
    <w:rsid w:val="2EC15C93"/>
    <w:rsid w:val="2ED0738D"/>
    <w:rsid w:val="2F94068F"/>
    <w:rsid w:val="2F98611F"/>
    <w:rsid w:val="302E00A6"/>
    <w:rsid w:val="3062054C"/>
    <w:rsid w:val="31107A96"/>
    <w:rsid w:val="3220355E"/>
    <w:rsid w:val="32EB591A"/>
    <w:rsid w:val="33572FB0"/>
    <w:rsid w:val="34016A18"/>
    <w:rsid w:val="34123EFA"/>
    <w:rsid w:val="34177E67"/>
    <w:rsid w:val="345D45F6"/>
    <w:rsid w:val="34A75871"/>
    <w:rsid w:val="34ED17DA"/>
    <w:rsid w:val="35606DBF"/>
    <w:rsid w:val="35D07049"/>
    <w:rsid w:val="35D24B6F"/>
    <w:rsid w:val="36637EBD"/>
    <w:rsid w:val="36DF7544"/>
    <w:rsid w:val="36E64FE4"/>
    <w:rsid w:val="36E7289C"/>
    <w:rsid w:val="376C34BF"/>
    <w:rsid w:val="38BD4774"/>
    <w:rsid w:val="38CC7FAC"/>
    <w:rsid w:val="38E075A3"/>
    <w:rsid w:val="38FB262F"/>
    <w:rsid w:val="392A081F"/>
    <w:rsid w:val="39455658"/>
    <w:rsid w:val="3A555D6F"/>
    <w:rsid w:val="3A9E14C4"/>
    <w:rsid w:val="3B225C51"/>
    <w:rsid w:val="3BAA1E25"/>
    <w:rsid w:val="3BC74A4B"/>
    <w:rsid w:val="3C131A3E"/>
    <w:rsid w:val="3C5756DC"/>
    <w:rsid w:val="3C8A7F52"/>
    <w:rsid w:val="3C9E63D6"/>
    <w:rsid w:val="3D31661F"/>
    <w:rsid w:val="3D7A7FC6"/>
    <w:rsid w:val="3E734A16"/>
    <w:rsid w:val="3EE055B7"/>
    <w:rsid w:val="3EE35897"/>
    <w:rsid w:val="3F3F60EF"/>
    <w:rsid w:val="3FCB2D5B"/>
    <w:rsid w:val="40153FD6"/>
    <w:rsid w:val="41362456"/>
    <w:rsid w:val="41B45A71"/>
    <w:rsid w:val="42A73DB5"/>
    <w:rsid w:val="434F5A51"/>
    <w:rsid w:val="4554734F"/>
    <w:rsid w:val="467A2DE5"/>
    <w:rsid w:val="46A95464"/>
    <w:rsid w:val="46B81B60"/>
    <w:rsid w:val="46BD2CD2"/>
    <w:rsid w:val="46E110B6"/>
    <w:rsid w:val="49090450"/>
    <w:rsid w:val="49372F46"/>
    <w:rsid w:val="49B54134"/>
    <w:rsid w:val="4A0F5483"/>
    <w:rsid w:val="4A266DE0"/>
    <w:rsid w:val="4A5E47CC"/>
    <w:rsid w:val="4AD14F9E"/>
    <w:rsid w:val="4B0D39CD"/>
    <w:rsid w:val="4B685902"/>
    <w:rsid w:val="4C0A0F25"/>
    <w:rsid w:val="4C0C5ACE"/>
    <w:rsid w:val="4C891FD4"/>
    <w:rsid w:val="4C990148"/>
    <w:rsid w:val="4D3F5640"/>
    <w:rsid w:val="4D5C239E"/>
    <w:rsid w:val="4DA91E14"/>
    <w:rsid w:val="4E06542A"/>
    <w:rsid w:val="4E241889"/>
    <w:rsid w:val="4FE45773"/>
    <w:rsid w:val="501357FD"/>
    <w:rsid w:val="50566671"/>
    <w:rsid w:val="50AC44E3"/>
    <w:rsid w:val="50FA6AF3"/>
    <w:rsid w:val="51085492"/>
    <w:rsid w:val="51204589"/>
    <w:rsid w:val="514D7DF2"/>
    <w:rsid w:val="515D32CC"/>
    <w:rsid w:val="51BA49DE"/>
    <w:rsid w:val="51D95B9E"/>
    <w:rsid w:val="52061FA6"/>
    <w:rsid w:val="521D4F6D"/>
    <w:rsid w:val="52466271"/>
    <w:rsid w:val="52D45448"/>
    <w:rsid w:val="52E35753"/>
    <w:rsid w:val="5358625C"/>
    <w:rsid w:val="537A2677"/>
    <w:rsid w:val="53A771E4"/>
    <w:rsid w:val="54624EB9"/>
    <w:rsid w:val="55B61960"/>
    <w:rsid w:val="55C15CFA"/>
    <w:rsid w:val="563D798B"/>
    <w:rsid w:val="5684416B"/>
    <w:rsid w:val="56AB0C3B"/>
    <w:rsid w:val="571C57F3"/>
    <w:rsid w:val="57A51C8C"/>
    <w:rsid w:val="57EE718F"/>
    <w:rsid w:val="57F0234F"/>
    <w:rsid w:val="5862192B"/>
    <w:rsid w:val="58CD4FF7"/>
    <w:rsid w:val="5A865DA5"/>
    <w:rsid w:val="5AA2226A"/>
    <w:rsid w:val="5B24111A"/>
    <w:rsid w:val="5C4066A5"/>
    <w:rsid w:val="5C741D48"/>
    <w:rsid w:val="5D066D29"/>
    <w:rsid w:val="5D752201"/>
    <w:rsid w:val="5DAD53F7"/>
    <w:rsid w:val="5E497C4F"/>
    <w:rsid w:val="609074EE"/>
    <w:rsid w:val="609F196E"/>
    <w:rsid w:val="60DA29A7"/>
    <w:rsid w:val="630E0F95"/>
    <w:rsid w:val="631A52DC"/>
    <w:rsid w:val="63666773"/>
    <w:rsid w:val="64BB489D"/>
    <w:rsid w:val="64DB6CED"/>
    <w:rsid w:val="65222B6E"/>
    <w:rsid w:val="65363F24"/>
    <w:rsid w:val="65516FAF"/>
    <w:rsid w:val="65931376"/>
    <w:rsid w:val="65A82BAC"/>
    <w:rsid w:val="663743F7"/>
    <w:rsid w:val="6661580C"/>
    <w:rsid w:val="66BC2B4E"/>
    <w:rsid w:val="678C2521"/>
    <w:rsid w:val="67957627"/>
    <w:rsid w:val="68AD274F"/>
    <w:rsid w:val="6943676A"/>
    <w:rsid w:val="69BD18A2"/>
    <w:rsid w:val="6A3A6264"/>
    <w:rsid w:val="6B1116BB"/>
    <w:rsid w:val="6B192137"/>
    <w:rsid w:val="6B453112"/>
    <w:rsid w:val="6B767770"/>
    <w:rsid w:val="6B8A4FC9"/>
    <w:rsid w:val="6CCE5B75"/>
    <w:rsid w:val="6E6B2E90"/>
    <w:rsid w:val="6E98764A"/>
    <w:rsid w:val="6F8A5734"/>
    <w:rsid w:val="6FE93EA0"/>
    <w:rsid w:val="7000585A"/>
    <w:rsid w:val="70862203"/>
    <w:rsid w:val="70A95EF1"/>
    <w:rsid w:val="70B31B03"/>
    <w:rsid w:val="715815AD"/>
    <w:rsid w:val="72D07765"/>
    <w:rsid w:val="73357F10"/>
    <w:rsid w:val="74D80B53"/>
    <w:rsid w:val="74F15FAE"/>
    <w:rsid w:val="75273889"/>
    <w:rsid w:val="7546650D"/>
    <w:rsid w:val="75846F2D"/>
    <w:rsid w:val="75EF25F8"/>
    <w:rsid w:val="764F46D1"/>
    <w:rsid w:val="76522B87"/>
    <w:rsid w:val="7671125F"/>
    <w:rsid w:val="771147F0"/>
    <w:rsid w:val="7789082B"/>
    <w:rsid w:val="77894387"/>
    <w:rsid w:val="78FB7506"/>
    <w:rsid w:val="790C34C1"/>
    <w:rsid w:val="79CE69C9"/>
    <w:rsid w:val="7B447970"/>
    <w:rsid w:val="7B4A3BA0"/>
    <w:rsid w:val="7B4A3DEA"/>
    <w:rsid w:val="7B75534E"/>
    <w:rsid w:val="7B780939"/>
    <w:rsid w:val="7BBA5457"/>
    <w:rsid w:val="7CCF01D0"/>
    <w:rsid w:val="7D456FA2"/>
    <w:rsid w:val="7D965A4F"/>
    <w:rsid w:val="7DEB18F7"/>
    <w:rsid w:val="7E844135"/>
    <w:rsid w:val="7EC169A8"/>
    <w:rsid w:val="7F233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360" w:lineRule="auto"/>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674</Words>
  <Characters>684</Characters>
  <Lines>0</Lines>
  <Paragraphs>0</Paragraphs>
  <TotalTime>20</TotalTime>
  <ScaleCrop>false</ScaleCrop>
  <LinksUpToDate>false</LinksUpToDate>
  <CharactersWithSpaces>686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2022-06-24T07:03:00Z</dcterms:created>
  <dc:creator>珂</dc:creator>
  <cp:lastModifiedBy>julia艳艳</cp:lastModifiedBy>
  <cp:lastPrinted>2023-09-26T02:53:00Z</cp:lastPrinted>
  <dcterms:modified xsi:type="dcterms:W3CDTF">2025-09-28T06:56:11Z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FA79870116A14ADD82F81E3AABA249E4</vt:lpwstr>
  </property>
  <property fmtid="{D5CDD505-2E9C-101B-9397-08002B2CF9AE}" pid="4" name="KSOTemplateDocerSaveRecord">
    <vt:lpwstr>eyJoZGlkIjoiMWZjNmE3OWFjMmIwYzliN2VkNDM5NDBlZWUyNzA1YTMiLCJ1c2VySWQiOiIyNzQzODM2OTcifQ==</vt:lpwstr>
  </property>
</Properties>
</file>