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5F1803">
      <w:pPr>
        <w:spacing w:line="560" w:lineRule="exact"/>
        <w:jc w:val="center"/>
        <w:rPr>
          <w:rFonts w:ascii="华文中宋" w:hAnsi="华文中宋" w:eastAsia="华文中宋" w:cs="华文中宋"/>
          <w:b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sz w:val="44"/>
          <w:szCs w:val="44"/>
        </w:rPr>
        <w:t>202</w:t>
      </w:r>
      <w:r>
        <w:rPr>
          <w:rFonts w:hint="eastAsia" w:ascii="华文中宋" w:hAnsi="华文中宋" w:eastAsia="华文中宋" w:cs="华文中宋"/>
          <w:b/>
          <w:sz w:val="44"/>
          <w:szCs w:val="44"/>
          <w:lang w:val="en-US" w:eastAsia="zh-CN"/>
        </w:rPr>
        <w:t>6</w:t>
      </w:r>
      <w:bookmarkStart w:id="0" w:name="_GoBack"/>
      <w:bookmarkEnd w:id="0"/>
      <w:r>
        <w:rPr>
          <w:rFonts w:hint="eastAsia" w:ascii="华文中宋" w:hAnsi="华文中宋" w:eastAsia="华文中宋" w:cs="华文中宋"/>
          <w:b/>
          <w:sz w:val="44"/>
          <w:szCs w:val="44"/>
        </w:rPr>
        <w:t>年硕士研究生入学考试自命题科目</w:t>
      </w:r>
    </w:p>
    <w:p w14:paraId="0EE94035">
      <w:pPr>
        <w:spacing w:line="560" w:lineRule="exact"/>
        <w:jc w:val="center"/>
        <w:rPr>
          <w:rFonts w:ascii="华文中宋" w:hAnsi="华文中宋" w:eastAsia="华文中宋" w:cs="华文中宋"/>
          <w:b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sz w:val="44"/>
          <w:szCs w:val="44"/>
        </w:rPr>
        <w:t>考试大纲</w:t>
      </w:r>
    </w:p>
    <w:tbl>
      <w:tblPr>
        <w:tblStyle w:val="6"/>
        <w:tblW w:w="85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0"/>
        <w:gridCol w:w="2852"/>
      </w:tblGrid>
      <w:tr w14:paraId="708C4D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2CD2D42A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阶段</w:t>
            </w:r>
            <w:r>
              <w:rPr>
                <w:rFonts w:hint="eastAsia" w:eastAsia="仿宋_GB2312"/>
                <w:bCs/>
                <w:sz w:val="28"/>
                <w:szCs w:val="28"/>
              </w:rPr>
              <w:t>：复试</w:t>
            </w:r>
          </w:p>
        </w:tc>
        <w:tc>
          <w:tcPr>
            <w:tcW w:w="2852" w:type="dxa"/>
          </w:tcPr>
          <w:p w14:paraId="0C54E7B3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科目</w:t>
            </w:r>
            <w:r>
              <w:rPr>
                <w:rFonts w:eastAsia="仿宋_GB2312"/>
                <w:bCs/>
                <w:sz w:val="28"/>
                <w:szCs w:val="28"/>
              </w:rPr>
              <w:t>满分值：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100分</w:t>
            </w:r>
          </w:p>
        </w:tc>
      </w:tr>
      <w:tr w14:paraId="305369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2C72E8F4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考试科目：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电气控制与可编程控制器</w:t>
            </w:r>
          </w:p>
        </w:tc>
        <w:tc>
          <w:tcPr>
            <w:tcW w:w="2852" w:type="dxa"/>
          </w:tcPr>
          <w:p w14:paraId="02CAB34B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科目代码：</w:t>
            </w:r>
          </w:p>
        </w:tc>
      </w:tr>
      <w:tr w14:paraId="101864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4DE2967F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方式：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闭卷</w:t>
            </w:r>
            <w:r>
              <w:rPr>
                <w:rFonts w:eastAsia="仿宋_GB2312"/>
                <w:bCs/>
                <w:sz w:val="28"/>
                <w:szCs w:val="28"/>
              </w:rPr>
              <w:t>笔试</w:t>
            </w:r>
          </w:p>
        </w:tc>
        <w:tc>
          <w:tcPr>
            <w:tcW w:w="2852" w:type="dxa"/>
          </w:tcPr>
          <w:p w14:paraId="5A5BB0BC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时长：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180分钟</w:t>
            </w:r>
          </w:p>
        </w:tc>
      </w:tr>
    </w:tbl>
    <w:p w14:paraId="12D74191">
      <w:pPr>
        <w:spacing w:line="360" w:lineRule="auto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一、</w:t>
      </w:r>
      <w:r>
        <w:rPr>
          <w:rFonts w:hint="eastAsia" w:eastAsia="黑体"/>
          <w:b/>
          <w:bCs/>
          <w:sz w:val="28"/>
          <w:szCs w:val="28"/>
        </w:rPr>
        <w:t>科目</w:t>
      </w:r>
      <w:r>
        <w:rPr>
          <w:rFonts w:eastAsia="黑体"/>
          <w:b/>
          <w:bCs/>
          <w:sz w:val="28"/>
          <w:szCs w:val="28"/>
        </w:rPr>
        <w:t>的总体要求</w:t>
      </w:r>
    </w:p>
    <w:p w14:paraId="281AE442">
      <w:pPr>
        <w:widowControl/>
        <w:spacing w:line="360" w:lineRule="auto"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考生应深入了解低压电气器件的概念、组成结构、工作原理、符号等；掌握传统的继电器、接触器典型控制系统的分析、设计方法；掌握可编程控制器（</w:t>
      </w:r>
      <w:r>
        <w:rPr>
          <w:rFonts w:eastAsia="仿宋_GB2312"/>
          <w:sz w:val="28"/>
          <w:szCs w:val="28"/>
        </w:rPr>
        <w:t>PLC</w:t>
      </w:r>
      <w:r>
        <w:rPr>
          <w:rFonts w:hint="eastAsia" w:ascii="仿宋_GB2312" w:eastAsia="仿宋_GB2312"/>
          <w:sz w:val="28"/>
          <w:szCs w:val="28"/>
        </w:rPr>
        <w:t>）基本工作原理、性能特点；</w:t>
      </w:r>
      <w:r>
        <w:rPr>
          <w:rFonts w:ascii="仿宋_GB2312" w:eastAsia="仿宋_GB2312"/>
          <w:sz w:val="28"/>
          <w:szCs w:val="28"/>
        </w:rPr>
        <w:t>掌握</w:t>
      </w:r>
      <w:r>
        <w:rPr>
          <w:rFonts w:eastAsia="仿宋_GB2312"/>
          <w:sz w:val="28"/>
          <w:szCs w:val="28"/>
        </w:rPr>
        <w:t>PLC</w:t>
      </w:r>
      <w:r>
        <w:rPr>
          <w:rFonts w:ascii="仿宋_GB2312" w:eastAsia="仿宋_GB2312"/>
          <w:sz w:val="28"/>
          <w:szCs w:val="28"/>
        </w:rPr>
        <w:t>编程指令和</w:t>
      </w:r>
      <w:r>
        <w:rPr>
          <w:rFonts w:eastAsia="仿宋_GB2312"/>
          <w:sz w:val="28"/>
          <w:szCs w:val="28"/>
        </w:rPr>
        <w:t>PLC</w:t>
      </w:r>
      <w:r>
        <w:rPr>
          <w:rFonts w:ascii="仿宋_GB2312" w:eastAsia="仿宋_GB2312"/>
          <w:sz w:val="28"/>
          <w:szCs w:val="28"/>
        </w:rPr>
        <w:t>程序设计方法，并且能灵活运用</w:t>
      </w:r>
      <w:r>
        <w:rPr>
          <w:rFonts w:hint="eastAsia" w:ascii="仿宋_GB2312" w:eastAsia="仿宋_GB2312"/>
          <w:sz w:val="28"/>
          <w:szCs w:val="28"/>
        </w:rPr>
        <w:t>；</w:t>
      </w:r>
      <w:r>
        <w:rPr>
          <w:rFonts w:ascii="仿宋_GB2312" w:eastAsia="仿宋_GB2312"/>
          <w:sz w:val="28"/>
          <w:szCs w:val="28"/>
        </w:rPr>
        <w:t>具备</w:t>
      </w:r>
      <w:r>
        <w:rPr>
          <w:rFonts w:eastAsia="仿宋_GB2312"/>
          <w:sz w:val="28"/>
          <w:szCs w:val="28"/>
        </w:rPr>
        <w:t>PLC</w:t>
      </w:r>
      <w:r>
        <w:rPr>
          <w:rFonts w:ascii="仿宋_GB2312" w:eastAsia="仿宋_GB2312"/>
          <w:sz w:val="28"/>
          <w:szCs w:val="28"/>
        </w:rPr>
        <w:t>电气控制系统分析与设计能力。</w:t>
      </w:r>
    </w:p>
    <w:p w14:paraId="75556055">
      <w:pPr>
        <w:spacing w:line="36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二、</w:t>
      </w:r>
      <w:r>
        <w:rPr>
          <w:rFonts w:hint="eastAsia" w:eastAsia="黑体"/>
          <w:b/>
          <w:sz w:val="28"/>
          <w:szCs w:val="28"/>
        </w:rPr>
        <w:t>考核内容与考核要求</w:t>
      </w:r>
    </w:p>
    <w:p w14:paraId="702C70B8">
      <w:pPr>
        <w:spacing w:line="360" w:lineRule="auto"/>
        <w:ind w:firstLine="422" w:firstLineChars="150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1、常用低压电器（10%-20%）</w:t>
      </w:r>
    </w:p>
    <w:p w14:paraId="27716DF3">
      <w:pPr>
        <w:widowControl/>
        <w:spacing w:line="360" w:lineRule="auto"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（1）常用低压电器的基本概念、常用术语及分类。</w:t>
      </w:r>
    </w:p>
    <w:p w14:paraId="2C34467F">
      <w:pPr>
        <w:widowControl/>
        <w:spacing w:line="360" w:lineRule="auto"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（2）常用低压电器（低压开关电器、接触器、继电器、熔断器、主令电器等）的结构、工作原理和作用。</w:t>
      </w:r>
    </w:p>
    <w:p w14:paraId="7D9C2FE5">
      <w:pPr>
        <w:widowControl/>
        <w:spacing w:line="360" w:lineRule="auto"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（3）常用低压电器的图形符号、文字符号、型号及其选用条件。</w:t>
      </w:r>
    </w:p>
    <w:p w14:paraId="7BD92F40">
      <w:pPr>
        <w:spacing w:line="360" w:lineRule="auto"/>
        <w:ind w:firstLine="422" w:firstLineChars="150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2、电气控制技术（</w:t>
      </w:r>
      <w:r>
        <w:rPr>
          <w:rFonts w:ascii="仿宋_GB2312" w:eastAsia="仿宋_GB2312"/>
          <w:b/>
          <w:sz w:val="28"/>
          <w:szCs w:val="28"/>
        </w:rPr>
        <w:t>2</w:t>
      </w:r>
      <w:r>
        <w:rPr>
          <w:rFonts w:hint="eastAsia" w:ascii="仿宋_GB2312" w:eastAsia="仿宋_GB2312"/>
          <w:b/>
          <w:sz w:val="28"/>
          <w:szCs w:val="28"/>
        </w:rPr>
        <w:t>0</w:t>
      </w:r>
      <w:r>
        <w:rPr>
          <w:rFonts w:ascii="仿宋_GB2312" w:eastAsia="仿宋_GB2312"/>
          <w:b/>
          <w:sz w:val="28"/>
          <w:szCs w:val="28"/>
        </w:rPr>
        <w:t>%-30%</w:t>
      </w:r>
      <w:r>
        <w:rPr>
          <w:rFonts w:hint="eastAsia" w:ascii="仿宋_GB2312" w:eastAsia="仿宋_GB2312"/>
          <w:b/>
          <w:sz w:val="28"/>
          <w:szCs w:val="28"/>
        </w:rPr>
        <w:t>）</w:t>
      </w:r>
    </w:p>
    <w:p w14:paraId="6C0DFB67">
      <w:pPr>
        <w:widowControl/>
        <w:spacing w:line="360" w:lineRule="auto"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（1）电气原理图的识读与绘制。</w:t>
      </w:r>
    </w:p>
    <w:p w14:paraId="551AC1B7">
      <w:pPr>
        <w:widowControl/>
        <w:spacing w:line="360" w:lineRule="auto"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（2）三相异步电动机的起停、正反转、降压起动等控制线路的分析。</w:t>
      </w:r>
    </w:p>
    <w:p w14:paraId="2FBE799B">
      <w:pPr>
        <w:widowControl/>
        <w:spacing w:line="360" w:lineRule="auto"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（3）顺序控制、多条件控制、优先控制、自动往返控制等典型控制环节的原理分析。</w:t>
      </w:r>
    </w:p>
    <w:p w14:paraId="236111DC">
      <w:pPr>
        <w:spacing w:line="360" w:lineRule="auto"/>
        <w:ind w:firstLine="422" w:firstLineChars="150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3、</w:t>
      </w:r>
      <w:r>
        <w:rPr>
          <w:rFonts w:eastAsia="仿宋_GB2312"/>
          <w:b/>
          <w:sz w:val="28"/>
          <w:szCs w:val="28"/>
        </w:rPr>
        <w:t>PLC</w:t>
      </w:r>
      <w:r>
        <w:rPr>
          <w:rFonts w:hint="eastAsia" w:ascii="仿宋_GB2312" w:eastAsia="仿宋_GB2312"/>
          <w:b/>
          <w:sz w:val="28"/>
          <w:szCs w:val="28"/>
        </w:rPr>
        <w:t>基础（10%-20%）</w:t>
      </w:r>
    </w:p>
    <w:p w14:paraId="67B9C7BF">
      <w:pPr>
        <w:widowControl/>
        <w:spacing w:line="360" w:lineRule="auto"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（1）</w:t>
      </w:r>
      <w:r>
        <w:rPr>
          <w:rFonts w:hint="eastAsia" w:eastAsia="仿宋_GB2312"/>
          <w:sz w:val="28"/>
          <w:szCs w:val="28"/>
        </w:rPr>
        <w:t>PLC</w:t>
      </w:r>
      <w:r>
        <w:rPr>
          <w:rFonts w:hint="eastAsia" w:ascii="仿宋_GB2312" w:eastAsia="仿宋_GB2312"/>
          <w:sz w:val="28"/>
          <w:szCs w:val="28"/>
        </w:rPr>
        <w:t>的结构、功能与工作原理。</w:t>
      </w:r>
    </w:p>
    <w:p w14:paraId="30863977">
      <w:pPr>
        <w:widowControl/>
        <w:spacing w:line="360" w:lineRule="auto"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（2）</w:t>
      </w:r>
      <w:r>
        <w:rPr>
          <w:rFonts w:hint="eastAsia" w:eastAsia="仿宋_GB2312"/>
          <w:sz w:val="28"/>
          <w:szCs w:val="28"/>
        </w:rPr>
        <w:t>PLC</w:t>
      </w:r>
      <w:r>
        <w:rPr>
          <w:rFonts w:hint="eastAsia" w:ascii="仿宋_GB2312" w:eastAsia="仿宋_GB2312"/>
          <w:sz w:val="28"/>
          <w:szCs w:val="28"/>
        </w:rPr>
        <w:t>存储器的分区及其功能。</w:t>
      </w:r>
    </w:p>
    <w:p w14:paraId="5F969602">
      <w:pPr>
        <w:spacing w:line="360" w:lineRule="auto"/>
        <w:ind w:firstLine="422" w:firstLineChars="150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4、</w:t>
      </w:r>
      <w:r>
        <w:rPr>
          <w:rFonts w:eastAsia="仿宋_GB2312"/>
          <w:b/>
          <w:sz w:val="28"/>
          <w:szCs w:val="28"/>
        </w:rPr>
        <w:t>PLC</w:t>
      </w:r>
      <w:r>
        <w:rPr>
          <w:rFonts w:hint="eastAsia" w:ascii="仿宋_GB2312" w:eastAsia="仿宋_GB2312"/>
          <w:b/>
          <w:sz w:val="28"/>
          <w:szCs w:val="28"/>
        </w:rPr>
        <w:t>控制系统的硬件设计（15%-25%）</w:t>
      </w:r>
    </w:p>
    <w:p w14:paraId="17BB5015">
      <w:pPr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（1）根据控制系统功能需求，进行PLC的选型。</w:t>
      </w:r>
    </w:p>
    <w:p w14:paraId="50077376">
      <w:pPr>
        <w:ind w:firstLine="560" w:firstLineChars="200"/>
        <w:jc w:val="left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（2）编制</w:t>
      </w:r>
      <w:r>
        <w:rPr>
          <w:rFonts w:hint="eastAsia" w:eastAsia="仿宋_GB2312"/>
          <w:sz w:val="28"/>
          <w:szCs w:val="28"/>
        </w:rPr>
        <w:t>PLC</w:t>
      </w:r>
      <w:r>
        <w:rPr>
          <w:rFonts w:hint="eastAsia" w:eastAsia="仿宋_GB2312"/>
          <w:bCs/>
          <w:sz w:val="28"/>
          <w:szCs w:val="28"/>
        </w:rPr>
        <w:t>的输入/输出分配表或绘制输入/输出端子接线图。</w:t>
      </w:r>
    </w:p>
    <w:p w14:paraId="71FDAF14">
      <w:pPr>
        <w:widowControl/>
        <w:spacing w:line="360" w:lineRule="auto"/>
        <w:ind w:firstLine="562" w:firstLineChars="200"/>
        <w:jc w:val="left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5、</w:t>
      </w:r>
      <w:r>
        <w:rPr>
          <w:rFonts w:eastAsia="仿宋_GB2312"/>
          <w:b/>
          <w:sz w:val="28"/>
          <w:szCs w:val="28"/>
        </w:rPr>
        <w:t>PLC</w:t>
      </w:r>
      <w:r>
        <w:rPr>
          <w:rFonts w:hint="eastAsia" w:ascii="仿宋_GB2312" w:eastAsia="仿宋_GB2312"/>
          <w:b/>
          <w:sz w:val="28"/>
          <w:szCs w:val="28"/>
        </w:rPr>
        <w:t>应用程序设计（30</w:t>
      </w:r>
      <w:r>
        <w:rPr>
          <w:rFonts w:ascii="仿宋_GB2312" w:eastAsia="仿宋_GB2312"/>
          <w:b/>
          <w:sz w:val="28"/>
          <w:szCs w:val="28"/>
        </w:rPr>
        <w:t>%-</w:t>
      </w:r>
      <w:r>
        <w:rPr>
          <w:rFonts w:hint="eastAsia" w:ascii="仿宋_GB2312" w:eastAsia="仿宋_GB2312"/>
          <w:b/>
          <w:sz w:val="28"/>
          <w:szCs w:val="28"/>
        </w:rPr>
        <w:t>40</w:t>
      </w:r>
      <w:r>
        <w:rPr>
          <w:rFonts w:ascii="仿宋_GB2312" w:eastAsia="仿宋_GB2312"/>
          <w:b/>
          <w:sz w:val="28"/>
          <w:szCs w:val="28"/>
        </w:rPr>
        <w:t>%</w:t>
      </w:r>
      <w:r>
        <w:rPr>
          <w:rFonts w:hint="eastAsia" w:ascii="仿宋_GB2312" w:eastAsia="仿宋_GB2312"/>
          <w:b/>
          <w:sz w:val="28"/>
          <w:szCs w:val="28"/>
        </w:rPr>
        <w:t>）</w:t>
      </w:r>
    </w:p>
    <w:p w14:paraId="24565FF1">
      <w:pPr>
        <w:widowControl/>
        <w:spacing w:line="360" w:lineRule="auto"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（1）西门子</w:t>
      </w:r>
      <w:r>
        <w:rPr>
          <w:rFonts w:eastAsia="仿宋_GB2312"/>
          <w:sz w:val="28"/>
          <w:szCs w:val="28"/>
        </w:rPr>
        <w:t>1500PLC</w:t>
      </w:r>
      <w:r>
        <w:rPr>
          <w:rFonts w:hint="eastAsia" w:ascii="仿宋_GB2312" w:eastAsia="仿宋_GB2312"/>
          <w:sz w:val="28"/>
          <w:szCs w:val="28"/>
        </w:rPr>
        <w:t>的常用编程指令系统。</w:t>
      </w:r>
    </w:p>
    <w:p w14:paraId="63031346">
      <w:pPr>
        <w:widowControl/>
        <w:spacing w:line="360" w:lineRule="auto"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（</w:t>
      </w:r>
      <w:r>
        <w:rPr>
          <w:rFonts w:eastAsia="仿宋_GB2312"/>
          <w:sz w:val="28"/>
          <w:szCs w:val="28"/>
        </w:rPr>
        <w:t>2</w:t>
      </w:r>
      <w:r>
        <w:rPr>
          <w:rFonts w:hint="eastAsia" w:eastAsia="仿宋_GB2312"/>
          <w:sz w:val="28"/>
          <w:szCs w:val="28"/>
        </w:rPr>
        <w:t>）</w:t>
      </w:r>
      <w:r>
        <w:rPr>
          <w:rFonts w:hint="eastAsia" w:ascii="仿宋_GB2312" w:eastAsia="仿宋_GB2312"/>
          <w:sz w:val="28"/>
          <w:szCs w:val="28"/>
        </w:rPr>
        <w:t>利用梯形图进行程序设计。</w:t>
      </w:r>
    </w:p>
    <w:p w14:paraId="436790F3">
      <w:pPr>
        <w:spacing w:line="36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三、题型</w:t>
      </w:r>
      <w:r>
        <w:rPr>
          <w:rFonts w:hint="eastAsia" w:eastAsia="黑体"/>
          <w:b/>
          <w:sz w:val="28"/>
          <w:szCs w:val="28"/>
        </w:rPr>
        <w:t>结构</w:t>
      </w:r>
    </w:p>
    <w:p w14:paraId="3B932141">
      <w:pPr>
        <w:pStyle w:val="2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考试</w:t>
      </w:r>
      <w:r>
        <w:rPr>
          <w:rFonts w:eastAsia="仿宋_GB2312"/>
          <w:sz w:val="28"/>
          <w:szCs w:val="28"/>
        </w:rPr>
        <w:t>包含题型</w:t>
      </w:r>
      <w:r>
        <w:rPr>
          <w:rFonts w:hint="eastAsia" w:eastAsia="仿宋_GB2312"/>
          <w:sz w:val="28"/>
          <w:szCs w:val="28"/>
        </w:rPr>
        <w:t>：选择题、填空题、简答与分析</w:t>
      </w:r>
      <w:r>
        <w:rPr>
          <w:rFonts w:eastAsia="仿宋_GB2312"/>
          <w:sz w:val="28"/>
          <w:szCs w:val="28"/>
        </w:rPr>
        <w:t>题</w:t>
      </w:r>
      <w:r>
        <w:rPr>
          <w:rFonts w:hint="eastAsia" w:eastAsia="仿宋_GB2312"/>
          <w:sz w:val="28"/>
          <w:szCs w:val="28"/>
        </w:rPr>
        <w:t>、综合设计</w:t>
      </w:r>
      <w:r>
        <w:rPr>
          <w:rFonts w:eastAsia="仿宋_GB2312"/>
          <w:sz w:val="28"/>
          <w:szCs w:val="28"/>
        </w:rPr>
        <w:t>题等。</w:t>
      </w:r>
    </w:p>
    <w:p w14:paraId="4A69CD48">
      <w:pPr>
        <w:pStyle w:val="2"/>
        <w:spacing w:line="24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四、</w:t>
      </w:r>
      <w:r>
        <w:rPr>
          <w:rFonts w:hint="eastAsia" w:eastAsia="黑体"/>
          <w:b/>
          <w:sz w:val="28"/>
          <w:szCs w:val="28"/>
        </w:rPr>
        <w:t>参考书目</w:t>
      </w:r>
    </w:p>
    <w:p w14:paraId="0FF46196">
      <w:pPr>
        <w:ind w:left="105" w:leftChars="50" w:firstLine="420" w:firstLineChars="15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《</w:t>
      </w:r>
      <w:r>
        <w:rPr>
          <w:rFonts w:eastAsia="仿宋_GB2312"/>
          <w:sz w:val="28"/>
          <w:szCs w:val="28"/>
        </w:rPr>
        <w:t>电气控制与S7-1500PLC应用技术</w:t>
      </w:r>
      <w:r>
        <w:rPr>
          <w:rFonts w:hint="eastAsia" w:eastAsia="仿宋_GB2312"/>
          <w:sz w:val="28"/>
          <w:szCs w:val="28"/>
        </w:rPr>
        <w:t xml:space="preserve">》 </w:t>
      </w:r>
      <w:r>
        <w:rPr>
          <w:rFonts w:eastAsia="仿宋_GB2312"/>
          <w:sz w:val="28"/>
          <w:szCs w:val="28"/>
        </w:rPr>
        <w:t>李鸿儒</w:t>
      </w:r>
      <w:r>
        <w:rPr>
          <w:rFonts w:hint="eastAsia" w:eastAsia="仿宋_GB2312"/>
          <w:sz w:val="28"/>
          <w:szCs w:val="28"/>
        </w:rPr>
        <w:t>、</w:t>
      </w:r>
      <w:r>
        <w:rPr>
          <w:rFonts w:eastAsia="仿宋_GB2312"/>
          <w:sz w:val="28"/>
          <w:szCs w:val="28"/>
        </w:rPr>
        <w:t>梁岩</w:t>
      </w:r>
      <w:r>
        <w:rPr>
          <w:rFonts w:hint="eastAsia" w:eastAsia="仿宋_GB2312"/>
          <w:sz w:val="28"/>
          <w:szCs w:val="28"/>
        </w:rPr>
        <w:t xml:space="preserve">等编著 </w:t>
      </w:r>
      <w:r>
        <w:rPr>
          <w:rFonts w:eastAsia="仿宋_GB2312"/>
          <w:sz w:val="28"/>
          <w:szCs w:val="28"/>
        </w:rPr>
        <w:t>机械工业出版社 2021</w:t>
      </w:r>
      <w:r>
        <w:rPr>
          <w:rFonts w:hint="eastAsia" w:eastAsia="仿宋_GB2312"/>
          <w:sz w:val="28"/>
          <w:szCs w:val="28"/>
        </w:rPr>
        <w:t>年8</w:t>
      </w:r>
      <w:r>
        <w:rPr>
          <w:rFonts w:eastAsia="仿宋_GB2312"/>
          <w:sz w:val="28"/>
          <w:szCs w:val="28"/>
        </w:rPr>
        <w:t>月</w:t>
      </w:r>
      <w:r>
        <w:rPr>
          <w:rFonts w:hint="eastAsia" w:eastAsia="仿宋_GB2312"/>
          <w:sz w:val="28"/>
          <w:szCs w:val="28"/>
        </w:rPr>
        <w:t>。</w:t>
      </w:r>
    </w:p>
    <w:p w14:paraId="7452B548">
      <w:pPr>
        <w:ind w:left="105" w:leftChars="50" w:firstLine="420" w:firstLineChars="15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《</w:t>
      </w:r>
      <w:r>
        <w:rPr>
          <w:rFonts w:eastAsia="仿宋_GB2312"/>
          <w:sz w:val="28"/>
          <w:szCs w:val="28"/>
        </w:rPr>
        <w:t>西门子S7-1500PLC编程及项目实践</w:t>
      </w:r>
      <w:r>
        <w:rPr>
          <w:rFonts w:hint="eastAsia" w:eastAsia="仿宋_GB2312"/>
          <w:sz w:val="28"/>
          <w:szCs w:val="28"/>
        </w:rPr>
        <w:t xml:space="preserve">》 </w:t>
      </w:r>
      <w:r>
        <w:rPr>
          <w:rFonts w:eastAsia="仿宋_GB2312"/>
          <w:sz w:val="28"/>
          <w:szCs w:val="28"/>
        </w:rPr>
        <w:t>刘忠超</w:t>
      </w:r>
      <w:r>
        <w:rPr>
          <w:rFonts w:hint="eastAsia" w:eastAsia="仿宋_GB2312"/>
          <w:sz w:val="28"/>
          <w:szCs w:val="28"/>
        </w:rPr>
        <w:t>、</w:t>
      </w:r>
      <w:r>
        <w:rPr>
          <w:rFonts w:eastAsia="仿宋_GB2312"/>
          <w:sz w:val="28"/>
          <w:szCs w:val="28"/>
        </w:rPr>
        <w:t>肖东岳</w:t>
      </w:r>
      <w:r>
        <w:rPr>
          <w:rFonts w:hint="eastAsia" w:eastAsia="仿宋_GB2312"/>
          <w:sz w:val="28"/>
          <w:szCs w:val="28"/>
        </w:rPr>
        <w:t xml:space="preserve">等编著 </w:t>
      </w:r>
      <w:r>
        <w:rPr>
          <w:rFonts w:eastAsia="仿宋_GB2312"/>
          <w:sz w:val="28"/>
          <w:szCs w:val="28"/>
        </w:rPr>
        <w:t>化学工业出版社 2020</w:t>
      </w:r>
      <w:r>
        <w:rPr>
          <w:rFonts w:hint="eastAsia" w:eastAsia="仿宋_GB2312"/>
          <w:sz w:val="28"/>
          <w:szCs w:val="28"/>
        </w:rPr>
        <w:t>年1</w:t>
      </w:r>
      <w:r>
        <w:rPr>
          <w:rFonts w:eastAsia="仿宋_GB2312"/>
          <w:sz w:val="28"/>
          <w:szCs w:val="28"/>
        </w:rPr>
        <w:t>0月</w:t>
      </w:r>
      <w:r>
        <w:rPr>
          <w:rFonts w:hint="eastAsia" w:eastAsia="仿宋_GB2312"/>
          <w:sz w:val="28"/>
          <w:szCs w:val="28"/>
        </w:rPr>
        <w:t>。</w:t>
      </w:r>
    </w:p>
    <w:p w14:paraId="12DEE7A9">
      <w:pPr>
        <w:pStyle w:val="2"/>
        <w:rPr>
          <w:rFonts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五</w:t>
      </w:r>
      <w:r>
        <w:rPr>
          <w:rFonts w:eastAsia="黑体"/>
          <w:b/>
          <w:sz w:val="28"/>
          <w:szCs w:val="28"/>
        </w:rPr>
        <w:t>、</w:t>
      </w:r>
      <w:r>
        <w:rPr>
          <w:rFonts w:hint="eastAsia" w:eastAsia="黑体"/>
          <w:b/>
          <w:sz w:val="28"/>
          <w:szCs w:val="28"/>
        </w:rPr>
        <w:t>其它要求</w:t>
      </w:r>
    </w:p>
    <w:p w14:paraId="5A573E26">
      <w:pPr>
        <w:ind w:firstLine="560" w:firstLineChars="200"/>
        <w:rPr>
          <w:rFonts w:hint="eastAsia" w:eastAsia="仿宋_GB2312"/>
          <w:color w:val="auto"/>
          <w:sz w:val="28"/>
          <w:szCs w:val="28"/>
        </w:rPr>
      </w:pPr>
      <w:r>
        <w:rPr>
          <w:rFonts w:hint="eastAsia" w:eastAsia="仿宋_GB2312"/>
          <w:color w:val="auto"/>
          <w:sz w:val="28"/>
          <w:szCs w:val="28"/>
          <w:lang w:val="en-US" w:eastAsia="zh-CN"/>
        </w:rPr>
        <w:t>（1）</w:t>
      </w:r>
      <w:r>
        <w:rPr>
          <w:rFonts w:hint="eastAsia" w:eastAsia="仿宋_GB2312"/>
          <w:color w:val="auto"/>
          <w:sz w:val="28"/>
          <w:szCs w:val="28"/>
        </w:rPr>
        <w:t>可使用无存储功能、通信功能的计算器。</w:t>
      </w:r>
    </w:p>
    <w:p w14:paraId="590983DA">
      <w:pPr>
        <w:ind w:firstLine="560" w:firstLineChars="200"/>
        <w:rPr>
          <w:rFonts w:hint="eastAsia" w:eastAsia="仿宋_GB2312"/>
          <w:color w:val="auto"/>
          <w:sz w:val="28"/>
          <w:szCs w:val="28"/>
          <w:lang w:val="en-US" w:eastAsia="zh-CN"/>
        </w:rPr>
      </w:pPr>
      <w:r>
        <w:rPr>
          <w:rFonts w:hint="eastAsia" w:eastAsia="仿宋_GB2312"/>
          <w:sz w:val="28"/>
          <w:szCs w:val="28"/>
          <w:lang w:eastAsia="zh-CN"/>
        </w:rPr>
        <w:t>（</w:t>
      </w:r>
      <w:r>
        <w:rPr>
          <w:rFonts w:hint="eastAsia" w:eastAsia="仿宋_GB2312"/>
          <w:sz w:val="28"/>
          <w:szCs w:val="28"/>
          <w:lang w:val="en-US" w:eastAsia="zh-CN"/>
        </w:rPr>
        <w:t>2</w:t>
      </w:r>
      <w:r>
        <w:rPr>
          <w:rFonts w:hint="eastAsia" w:eastAsia="仿宋_GB2312"/>
          <w:sz w:val="28"/>
          <w:szCs w:val="28"/>
          <w:lang w:eastAsia="zh-CN"/>
        </w:rPr>
        <w:t>）</w:t>
      </w:r>
      <w:r>
        <w:rPr>
          <w:rFonts w:eastAsia="仿宋_GB2312"/>
          <w:sz w:val="28"/>
          <w:szCs w:val="28"/>
        </w:rPr>
        <w:t>具体考试时间以《准考证》为准</w:t>
      </w:r>
      <w:r>
        <w:rPr>
          <w:rFonts w:hint="eastAsia" w:eastAsia="仿宋_GB2312"/>
          <w:sz w:val="28"/>
          <w:szCs w:val="28"/>
          <w:lang w:eastAsia="zh-CN"/>
        </w:rPr>
        <w:t>。</w:t>
      </w:r>
    </w:p>
    <w:p w14:paraId="6848B75F">
      <w:pPr>
        <w:ind w:firstLine="560" w:firstLineChars="200"/>
        <w:rPr>
          <w:rFonts w:eastAsia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M1YzUxYTU1ZGE0MDNhNzAzNmNhY2IwNmI0ZDU0ZDAifQ=="/>
  </w:docVars>
  <w:rsids>
    <w:rsidRoot w:val="000A342D"/>
    <w:rsid w:val="000A342D"/>
    <w:rsid w:val="000F48A9"/>
    <w:rsid w:val="00111571"/>
    <w:rsid w:val="001420EB"/>
    <w:rsid w:val="001D0732"/>
    <w:rsid w:val="00221A8F"/>
    <w:rsid w:val="00230F69"/>
    <w:rsid w:val="00284180"/>
    <w:rsid w:val="00297346"/>
    <w:rsid w:val="002978A7"/>
    <w:rsid w:val="00337435"/>
    <w:rsid w:val="00353AD6"/>
    <w:rsid w:val="0035407B"/>
    <w:rsid w:val="003547B1"/>
    <w:rsid w:val="0037183C"/>
    <w:rsid w:val="004F3981"/>
    <w:rsid w:val="00631990"/>
    <w:rsid w:val="006402F1"/>
    <w:rsid w:val="006A13C8"/>
    <w:rsid w:val="006E772C"/>
    <w:rsid w:val="007944D8"/>
    <w:rsid w:val="007C7D97"/>
    <w:rsid w:val="007F51D3"/>
    <w:rsid w:val="00855091"/>
    <w:rsid w:val="0088444A"/>
    <w:rsid w:val="0089666E"/>
    <w:rsid w:val="00897F93"/>
    <w:rsid w:val="008B3972"/>
    <w:rsid w:val="008C23A5"/>
    <w:rsid w:val="008F7483"/>
    <w:rsid w:val="00902B09"/>
    <w:rsid w:val="00915945"/>
    <w:rsid w:val="009341D6"/>
    <w:rsid w:val="009416A0"/>
    <w:rsid w:val="00956DB7"/>
    <w:rsid w:val="009822A8"/>
    <w:rsid w:val="009C2AAE"/>
    <w:rsid w:val="009C7397"/>
    <w:rsid w:val="009D205F"/>
    <w:rsid w:val="009E7FF4"/>
    <w:rsid w:val="00A03296"/>
    <w:rsid w:val="00A12612"/>
    <w:rsid w:val="00A53A68"/>
    <w:rsid w:val="00A81832"/>
    <w:rsid w:val="00A866B0"/>
    <w:rsid w:val="00B149ED"/>
    <w:rsid w:val="00B5404C"/>
    <w:rsid w:val="00B8163A"/>
    <w:rsid w:val="00BD1815"/>
    <w:rsid w:val="00C01C5E"/>
    <w:rsid w:val="00CA484E"/>
    <w:rsid w:val="00CD72E8"/>
    <w:rsid w:val="00CD76DB"/>
    <w:rsid w:val="00D30DB3"/>
    <w:rsid w:val="00D373D5"/>
    <w:rsid w:val="00E05D04"/>
    <w:rsid w:val="00E866EF"/>
    <w:rsid w:val="00EC0099"/>
    <w:rsid w:val="00EC5F3F"/>
    <w:rsid w:val="00EC7A62"/>
    <w:rsid w:val="00F73CE8"/>
    <w:rsid w:val="00F76C65"/>
    <w:rsid w:val="00F9103D"/>
    <w:rsid w:val="00FC0C6E"/>
    <w:rsid w:val="04240AEC"/>
    <w:rsid w:val="052B1BD2"/>
    <w:rsid w:val="07A31495"/>
    <w:rsid w:val="09287EA3"/>
    <w:rsid w:val="0B46081C"/>
    <w:rsid w:val="0B8B5E8E"/>
    <w:rsid w:val="12C416A2"/>
    <w:rsid w:val="152534E9"/>
    <w:rsid w:val="17966920"/>
    <w:rsid w:val="180C194B"/>
    <w:rsid w:val="185540E5"/>
    <w:rsid w:val="1BA710FC"/>
    <w:rsid w:val="1BE063BC"/>
    <w:rsid w:val="1CCE211A"/>
    <w:rsid w:val="1DB16145"/>
    <w:rsid w:val="1E553F25"/>
    <w:rsid w:val="1E984D2C"/>
    <w:rsid w:val="204809D3"/>
    <w:rsid w:val="21E936E6"/>
    <w:rsid w:val="228E71F0"/>
    <w:rsid w:val="23B819CC"/>
    <w:rsid w:val="241A2687"/>
    <w:rsid w:val="25227A45"/>
    <w:rsid w:val="277F227A"/>
    <w:rsid w:val="289C7B0E"/>
    <w:rsid w:val="31AA16E9"/>
    <w:rsid w:val="33C00B55"/>
    <w:rsid w:val="34D828EE"/>
    <w:rsid w:val="358A3010"/>
    <w:rsid w:val="35EA7985"/>
    <w:rsid w:val="35F67ACD"/>
    <w:rsid w:val="3CC05722"/>
    <w:rsid w:val="3E75078E"/>
    <w:rsid w:val="3F8253BE"/>
    <w:rsid w:val="3F8B09B9"/>
    <w:rsid w:val="40210BCD"/>
    <w:rsid w:val="44214E41"/>
    <w:rsid w:val="454607EE"/>
    <w:rsid w:val="46134131"/>
    <w:rsid w:val="463F1DAD"/>
    <w:rsid w:val="48AC2FFE"/>
    <w:rsid w:val="4B1530DD"/>
    <w:rsid w:val="4D3E6C73"/>
    <w:rsid w:val="4FA06DB3"/>
    <w:rsid w:val="515D3A2F"/>
    <w:rsid w:val="53CA2EA1"/>
    <w:rsid w:val="58E2282D"/>
    <w:rsid w:val="5BE67372"/>
    <w:rsid w:val="5C4F76D0"/>
    <w:rsid w:val="5C8C11C0"/>
    <w:rsid w:val="5C904CB9"/>
    <w:rsid w:val="5D086C55"/>
    <w:rsid w:val="5D1C479E"/>
    <w:rsid w:val="5DFE5C52"/>
    <w:rsid w:val="61F826FB"/>
    <w:rsid w:val="629C78BE"/>
    <w:rsid w:val="67252A40"/>
    <w:rsid w:val="68F24605"/>
    <w:rsid w:val="6CCC1F5D"/>
    <w:rsid w:val="6CD60F7F"/>
    <w:rsid w:val="6D7427E8"/>
    <w:rsid w:val="6E444B9B"/>
    <w:rsid w:val="771B59A4"/>
    <w:rsid w:val="779624E4"/>
    <w:rsid w:val="78177BE5"/>
    <w:rsid w:val="78A51694"/>
    <w:rsid w:val="7AD30B9C"/>
    <w:rsid w:val="7C577FA4"/>
    <w:rsid w:val="7F7B6CA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qFormat/>
    <w:uiPriority w:val="0"/>
    <w:pPr>
      <w:spacing w:line="360" w:lineRule="auto"/>
    </w:pPr>
    <w:rPr>
      <w:sz w:val="24"/>
      <w:szCs w:val="20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正文文本 字符"/>
    <w:basedOn w:val="7"/>
    <w:link w:val="2"/>
    <w:qFormat/>
    <w:uiPriority w:val="0"/>
    <w:rPr>
      <w:rFonts w:ascii="Times New Roman" w:hAnsi="Times New Roman" w:eastAsia="宋体" w:cs="Times New Roman"/>
      <w:sz w:val="24"/>
      <w:szCs w:val="20"/>
    </w:rPr>
  </w:style>
  <w:style w:type="paragraph" w:customStyle="1" w:styleId="11">
    <w:name w:val="首行缩进"/>
    <w:basedOn w:val="1"/>
    <w:qFormat/>
    <w:uiPriority w:val="0"/>
    <w:rPr>
      <w:color w:val="000000"/>
    </w:rPr>
  </w:style>
  <w:style w:type="character" w:customStyle="1" w:styleId="12">
    <w:name w:val="批注框文本 字符"/>
    <w:basedOn w:val="7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701</Words>
  <Characters>791</Characters>
  <Lines>5</Lines>
  <Paragraphs>1</Paragraphs>
  <TotalTime>0</TotalTime>
  <ScaleCrop>false</ScaleCrop>
  <LinksUpToDate>false</LinksUpToDate>
  <CharactersWithSpaces>797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2022-10-10T00:16:00Z</dcterms:created>
  <dc:creator>User</dc:creator>
  <cp:lastModifiedBy>蒜皮儿</cp:lastModifiedBy>
  <cp:lastPrinted>2025-10-20T07:31:50Z</cp:lastPrinted>
  <dcterms:modified xsi:type="dcterms:W3CDTF">2025-10-20T07:32:23Z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2A7D94BA1FD04F8F97FBEE8E4F736905_13</vt:lpwstr>
  </property>
</Properties>
</file>