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B13162">
      <w:pPr>
        <w:spacing w:line="560" w:lineRule="exact"/>
        <w:jc w:val="center"/>
        <w:rPr>
          <w:rFonts w:eastAsia="方正小标宋简体"/>
          <w:b/>
          <w:sz w:val="44"/>
          <w:szCs w:val="44"/>
        </w:rPr>
      </w:pPr>
      <w:bookmarkStart w:id="0" w:name="_GoBack"/>
      <w:r>
        <w:rPr>
          <w:rFonts w:hint="eastAsia" w:eastAsia="方正小标宋简体"/>
          <w:b/>
          <w:sz w:val="44"/>
          <w:szCs w:val="44"/>
          <w:u w:val="none"/>
          <w:lang w:val="en-US" w:eastAsia="zh-CN"/>
        </w:rPr>
        <w:t>2026</w:t>
      </w:r>
      <w:r>
        <w:rPr>
          <w:rFonts w:eastAsia="方正小标宋简体"/>
          <w:b/>
          <w:sz w:val="44"/>
          <w:szCs w:val="44"/>
        </w:rPr>
        <w:t>年硕士研究生入学考试自命题科目</w:t>
      </w:r>
      <w:bookmarkEnd w:id="0"/>
    </w:p>
    <w:p w14:paraId="184306D2">
      <w:pPr>
        <w:spacing w:line="560" w:lineRule="exact"/>
        <w:jc w:val="center"/>
        <w:rPr>
          <w:rFonts w:eastAsia="方正小标宋简体"/>
          <w:bCs/>
          <w:sz w:val="44"/>
          <w:szCs w:val="44"/>
        </w:rPr>
      </w:pPr>
      <w:r>
        <w:rPr>
          <w:rFonts w:eastAsia="方正小标宋简体"/>
          <w:b/>
          <w:sz w:val="44"/>
          <w:szCs w:val="44"/>
        </w:rPr>
        <w:t>考试大纲</w:t>
      </w:r>
    </w:p>
    <w:tbl>
      <w:tblPr>
        <w:tblStyle w:val="8"/>
        <w:tblW w:w="8522" w:type="dxa"/>
        <w:jc w:val="center"/>
        <w:tblLayout w:type="fixed"/>
        <w:tblCellMar>
          <w:top w:w="0" w:type="dxa"/>
          <w:left w:w="108" w:type="dxa"/>
          <w:bottom w:w="0" w:type="dxa"/>
          <w:right w:w="108" w:type="dxa"/>
        </w:tblCellMar>
      </w:tblPr>
      <w:tblGrid>
        <w:gridCol w:w="5670"/>
        <w:gridCol w:w="2852"/>
      </w:tblGrid>
      <w:tr w14:paraId="356FB0BB">
        <w:tblPrEx>
          <w:tblCellMar>
            <w:top w:w="0" w:type="dxa"/>
            <w:left w:w="108" w:type="dxa"/>
            <w:bottom w:w="0" w:type="dxa"/>
            <w:right w:w="108" w:type="dxa"/>
          </w:tblCellMar>
        </w:tblPrEx>
        <w:trPr>
          <w:trHeight w:val="520" w:hRule="atLeast"/>
          <w:jc w:val="center"/>
        </w:trPr>
        <w:tc>
          <w:tcPr>
            <w:tcW w:w="5670" w:type="dxa"/>
          </w:tcPr>
          <w:p w14:paraId="5C228401">
            <w:pPr>
              <w:spacing w:after="100" w:afterAutospacing="1"/>
              <w:rPr>
                <w:rFonts w:eastAsia="仿宋_GB2312"/>
                <w:bCs/>
                <w:sz w:val="28"/>
                <w:szCs w:val="28"/>
              </w:rPr>
            </w:pPr>
            <w:r>
              <w:rPr>
                <w:rFonts w:hint="eastAsia" w:eastAsia="仿宋_GB2312"/>
                <w:bCs/>
                <w:sz w:val="28"/>
                <w:szCs w:val="28"/>
              </w:rPr>
              <w:t>考试</w:t>
            </w:r>
            <w:r>
              <w:rPr>
                <w:rFonts w:eastAsia="仿宋_GB2312"/>
                <w:bCs/>
                <w:sz w:val="28"/>
                <w:szCs w:val="28"/>
              </w:rPr>
              <w:t>阶段</w:t>
            </w:r>
            <w:r>
              <w:rPr>
                <w:rFonts w:hint="eastAsia" w:eastAsia="仿宋_GB2312"/>
                <w:bCs/>
                <w:sz w:val="28"/>
                <w:szCs w:val="28"/>
              </w:rPr>
              <w:t>：</w:t>
            </w:r>
            <w:r>
              <w:rPr>
                <w:rFonts w:hint="eastAsia" w:eastAsia="仿宋_GB2312"/>
                <w:bCs/>
                <w:sz w:val="28"/>
                <w:szCs w:val="28"/>
                <w:lang w:val="en-US" w:eastAsia="zh-CN"/>
              </w:rPr>
              <w:t>复</w:t>
            </w:r>
            <w:r>
              <w:rPr>
                <w:rFonts w:eastAsia="仿宋_GB2312"/>
                <w:bCs/>
                <w:sz w:val="28"/>
                <w:szCs w:val="28"/>
              </w:rPr>
              <w:t>试</w:t>
            </w:r>
          </w:p>
        </w:tc>
        <w:tc>
          <w:tcPr>
            <w:tcW w:w="2852" w:type="dxa"/>
          </w:tcPr>
          <w:p w14:paraId="7150E316">
            <w:pPr>
              <w:spacing w:after="100" w:afterAutospacing="1"/>
              <w:rPr>
                <w:rFonts w:hint="default" w:eastAsia="仿宋_GB2312"/>
                <w:bCs/>
                <w:sz w:val="28"/>
                <w:szCs w:val="28"/>
                <w:lang w:val="en-US" w:eastAsia="zh-CN"/>
              </w:rPr>
            </w:pPr>
            <w:r>
              <w:rPr>
                <w:rFonts w:hint="eastAsia" w:eastAsia="仿宋_GB2312"/>
                <w:bCs/>
                <w:sz w:val="28"/>
                <w:szCs w:val="28"/>
              </w:rPr>
              <w:t>科目</w:t>
            </w:r>
            <w:r>
              <w:rPr>
                <w:rFonts w:eastAsia="仿宋_GB2312"/>
                <w:bCs/>
                <w:sz w:val="28"/>
                <w:szCs w:val="28"/>
              </w:rPr>
              <w:t>满分值：</w:t>
            </w:r>
            <w:r>
              <w:rPr>
                <w:rFonts w:hint="eastAsia" w:eastAsia="仿宋_GB2312"/>
                <w:bCs/>
                <w:sz w:val="28"/>
                <w:szCs w:val="28"/>
                <w:lang w:val="en-US" w:eastAsia="zh-CN"/>
              </w:rPr>
              <w:t>100</w:t>
            </w:r>
          </w:p>
        </w:tc>
      </w:tr>
      <w:tr w14:paraId="79D54B79">
        <w:tblPrEx>
          <w:tblCellMar>
            <w:top w:w="0" w:type="dxa"/>
            <w:left w:w="108" w:type="dxa"/>
            <w:bottom w:w="0" w:type="dxa"/>
            <w:right w:w="108" w:type="dxa"/>
          </w:tblCellMar>
        </w:tblPrEx>
        <w:trPr>
          <w:trHeight w:val="520" w:hRule="atLeast"/>
          <w:jc w:val="center"/>
        </w:trPr>
        <w:tc>
          <w:tcPr>
            <w:tcW w:w="5670" w:type="dxa"/>
          </w:tcPr>
          <w:p w14:paraId="51E17254">
            <w:pPr>
              <w:spacing w:after="100" w:afterAutospacing="1"/>
              <w:rPr>
                <w:rFonts w:hint="default" w:eastAsia="仿宋_GB2312"/>
                <w:bCs/>
                <w:sz w:val="28"/>
                <w:szCs w:val="28"/>
                <w:lang w:val="en-US" w:eastAsia="zh-CN"/>
              </w:rPr>
            </w:pPr>
            <w:r>
              <w:rPr>
                <w:rFonts w:eastAsia="仿宋_GB2312"/>
                <w:bCs/>
                <w:sz w:val="28"/>
                <w:szCs w:val="28"/>
              </w:rPr>
              <w:t>考试科目：</w:t>
            </w:r>
            <w:r>
              <w:rPr>
                <w:rFonts w:hint="eastAsia" w:eastAsia="仿宋_GB2312"/>
                <w:bCs/>
                <w:sz w:val="28"/>
                <w:szCs w:val="28"/>
                <w:lang w:val="en-US" w:eastAsia="zh-CN"/>
              </w:rPr>
              <w:t>西方经济学</w:t>
            </w:r>
          </w:p>
        </w:tc>
        <w:tc>
          <w:tcPr>
            <w:tcW w:w="2852" w:type="dxa"/>
          </w:tcPr>
          <w:p w14:paraId="62C15BEA">
            <w:pPr>
              <w:spacing w:after="100" w:afterAutospacing="1"/>
              <w:rPr>
                <w:rFonts w:hint="eastAsia" w:eastAsia="仿宋_GB2312"/>
                <w:bCs/>
                <w:sz w:val="28"/>
                <w:szCs w:val="28"/>
                <w:lang w:val="en-US" w:eastAsia="zh-CN"/>
              </w:rPr>
            </w:pPr>
            <w:r>
              <w:rPr>
                <w:rFonts w:eastAsia="仿宋_GB2312"/>
                <w:bCs/>
                <w:sz w:val="28"/>
                <w:szCs w:val="28"/>
              </w:rPr>
              <w:t>科目代码：</w:t>
            </w:r>
            <w:r>
              <w:rPr>
                <w:rFonts w:hint="eastAsia" w:eastAsia="仿宋_GB2312"/>
                <w:bCs/>
                <w:sz w:val="28"/>
                <w:szCs w:val="28"/>
                <w:lang w:val="en-US" w:eastAsia="zh-CN"/>
              </w:rPr>
              <w:t>/</w:t>
            </w:r>
          </w:p>
        </w:tc>
      </w:tr>
      <w:tr w14:paraId="1C6EEE81">
        <w:tblPrEx>
          <w:tblCellMar>
            <w:top w:w="0" w:type="dxa"/>
            <w:left w:w="108" w:type="dxa"/>
            <w:bottom w:w="0" w:type="dxa"/>
            <w:right w:w="108" w:type="dxa"/>
          </w:tblCellMar>
        </w:tblPrEx>
        <w:trPr>
          <w:trHeight w:val="520" w:hRule="atLeast"/>
          <w:jc w:val="center"/>
        </w:trPr>
        <w:tc>
          <w:tcPr>
            <w:tcW w:w="5670" w:type="dxa"/>
          </w:tcPr>
          <w:p w14:paraId="32D60A93">
            <w:pPr>
              <w:spacing w:after="100" w:afterAutospacing="1"/>
              <w:rPr>
                <w:rFonts w:eastAsia="仿宋_GB2312"/>
                <w:bCs/>
                <w:sz w:val="28"/>
                <w:szCs w:val="28"/>
              </w:rPr>
            </w:pPr>
            <w:r>
              <w:rPr>
                <w:rFonts w:hint="eastAsia" w:eastAsia="仿宋_GB2312"/>
                <w:bCs/>
                <w:sz w:val="28"/>
                <w:szCs w:val="28"/>
              </w:rPr>
              <w:t>考试</w:t>
            </w:r>
            <w:r>
              <w:rPr>
                <w:rFonts w:eastAsia="仿宋_GB2312"/>
                <w:bCs/>
                <w:sz w:val="28"/>
                <w:szCs w:val="28"/>
              </w:rPr>
              <w:t>方式：</w:t>
            </w:r>
            <w:r>
              <w:rPr>
                <w:rFonts w:hint="eastAsia" w:eastAsia="仿宋_GB2312"/>
                <w:bCs/>
                <w:sz w:val="28"/>
                <w:szCs w:val="28"/>
              </w:rPr>
              <w:t>闭卷</w:t>
            </w:r>
            <w:r>
              <w:rPr>
                <w:rFonts w:eastAsia="仿宋_GB2312"/>
                <w:bCs/>
                <w:sz w:val="28"/>
                <w:szCs w:val="28"/>
              </w:rPr>
              <w:t>笔试</w:t>
            </w:r>
          </w:p>
        </w:tc>
        <w:tc>
          <w:tcPr>
            <w:tcW w:w="2852" w:type="dxa"/>
          </w:tcPr>
          <w:p w14:paraId="0F6ED295">
            <w:pPr>
              <w:spacing w:after="100" w:afterAutospacing="1"/>
              <w:rPr>
                <w:rFonts w:eastAsia="仿宋_GB2312"/>
                <w:bCs/>
                <w:sz w:val="28"/>
                <w:szCs w:val="28"/>
              </w:rPr>
            </w:pPr>
            <w:r>
              <w:rPr>
                <w:rFonts w:hint="eastAsia" w:eastAsia="仿宋_GB2312"/>
                <w:bCs/>
                <w:sz w:val="28"/>
                <w:szCs w:val="28"/>
              </w:rPr>
              <w:t>考试</w:t>
            </w:r>
            <w:r>
              <w:rPr>
                <w:rFonts w:eastAsia="仿宋_GB2312"/>
                <w:bCs/>
                <w:sz w:val="28"/>
                <w:szCs w:val="28"/>
              </w:rPr>
              <w:t>时长：</w:t>
            </w:r>
            <w:r>
              <w:rPr>
                <w:rFonts w:hint="eastAsia" w:eastAsia="仿宋_GB2312"/>
                <w:bCs/>
                <w:sz w:val="28"/>
                <w:szCs w:val="28"/>
              </w:rPr>
              <w:t>180分钟</w:t>
            </w:r>
          </w:p>
        </w:tc>
      </w:tr>
    </w:tbl>
    <w:p w14:paraId="4D542293">
      <w:pPr>
        <w:numPr>
          <w:ilvl w:val="0"/>
          <w:numId w:val="1"/>
        </w:numPr>
        <w:spacing w:line="360" w:lineRule="auto"/>
        <w:rPr>
          <w:rFonts w:eastAsia="黑体"/>
          <w:b/>
          <w:bCs/>
          <w:sz w:val="28"/>
          <w:szCs w:val="28"/>
        </w:rPr>
      </w:pPr>
      <w:r>
        <w:rPr>
          <w:rFonts w:hint="eastAsia" w:eastAsia="黑体"/>
          <w:b/>
          <w:bCs/>
          <w:sz w:val="28"/>
          <w:szCs w:val="28"/>
        </w:rPr>
        <w:t>科目</w:t>
      </w:r>
      <w:r>
        <w:rPr>
          <w:rFonts w:eastAsia="黑体"/>
          <w:b/>
          <w:bCs/>
          <w:sz w:val="28"/>
          <w:szCs w:val="28"/>
        </w:rPr>
        <w:t>的总体要求</w:t>
      </w:r>
    </w:p>
    <w:p w14:paraId="6918C00E">
      <w:pPr>
        <w:widowControl/>
        <w:spacing w:line="360" w:lineRule="auto"/>
        <w:ind w:firstLine="560" w:firstLineChars="200"/>
        <w:rPr>
          <w:rFonts w:eastAsia="黑体"/>
          <w:b/>
          <w:bCs/>
          <w:sz w:val="28"/>
          <w:szCs w:val="28"/>
        </w:rPr>
      </w:pPr>
      <w:r>
        <w:rPr>
          <w:rFonts w:hint="eastAsia" w:ascii="仿宋" w:hAnsi="仿宋" w:eastAsia="仿宋" w:cs="宋体"/>
          <w:sz w:val="28"/>
          <w:szCs w:val="28"/>
        </w:rPr>
        <w:t>测试考生对西方经济学的基础知识、基本理论、基本方法和基本技能的掌握程度，检查考生运用相关的基本理论与方法来分析各种经济现象和解决实际问题的能力，检测考生的经济学思维和科研潜质。</w:t>
      </w:r>
    </w:p>
    <w:p w14:paraId="5DC8F303">
      <w:pPr>
        <w:numPr>
          <w:ilvl w:val="0"/>
          <w:numId w:val="1"/>
        </w:numPr>
        <w:spacing w:line="360" w:lineRule="auto"/>
        <w:rPr>
          <w:rFonts w:eastAsia="黑体"/>
          <w:b/>
          <w:sz w:val="28"/>
          <w:szCs w:val="28"/>
        </w:rPr>
      </w:pPr>
      <w:r>
        <w:rPr>
          <w:rFonts w:hint="eastAsia" w:eastAsia="黑体"/>
          <w:b/>
          <w:sz w:val="28"/>
          <w:szCs w:val="28"/>
        </w:rPr>
        <w:t>考核内容与考核要求</w:t>
      </w:r>
    </w:p>
    <w:p w14:paraId="293551D6">
      <w:pPr>
        <w:widowControl/>
        <w:spacing w:line="360" w:lineRule="auto"/>
        <w:ind w:firstLine="560"/>
        <w:rPr>
          <w:rFonts w:ascii="仿宋" w:hAnsi="仿宋" w:eastAsia="仿宋" w:cs="宋体"/>
          <w:sz w:val="28"/>
          <w:szCs w:val="28"/>
        </w:rPr>
      </w:pPr>
      <w:r>
        <w:rPr>
          <w:rFonts w:hint="eastAsia" w:ascii="仿宋" w:hAnsi="仿宋" w:eastAsia="仿宋" w:cs="宋体"/>
          <w:color w:val="000000"/>
          <w:kern w:val="0"/>
          <w:sz w:val="28"/>
          <w:szCs w:val="28"/>
        </w:rPr>
        <w:t>考试内容</w:t>
      </w:r>
      <w:r>
        <w:rPr>
          <w:rFonts w:hint="eastAsia" w:ascii="仿宋" w:hAnsi="仿宋" w:eastAsia="仿宋" w:cs="宋体"/>
          <w:sz w:val="28"/>
          <w:szCs w:val="28"/>
        </w:rPr>
        <w:t>包括微观经济学和宏观经济学基础理论的主要部分。</w:t>
      </w:r>
    </w:p>
    <w:p w14:paraId="20CAA0A3">
      <w:pPr>
        <w:widowControl/>
        <w:spacing w:line="360" w:lineRule="auto"/>
        <w:ind w:firstLine="560"/>
        <w:rPr>
          <w:rFonts w:ascii="仿宋" w:hAnsi="仿宋" w:eastAsia="仿宋" w:cs="宋体"/>
          <w:b/>
          <w:bCs/>
          <w:sz w:val="28"/>
          <w:szCs w:val="28"/>
        </w:rPr>
      </w:pPr>
      <w:r>
        <w:rPr>
          <w:rFonts w:hint="eastAsia" w:ascii="仿宋" w:hAnsi="仿宋" w:eastAsia="仿宋" w:cs="宋体"/>
          <w:b/>
          <w:bCs/>
          <w:sz w:val="28"/>
          <w:szCs w:val="28"/>
        </w:rPr>
        <w:t>第一部分 微观经济学</w:t>
      </w:r>
    </w:p>
    <w:p w14:paraId="5A3C3947">
      <w:pPr>
        <w:spacing w:line="360" w:lineRule="auto"/>
        <w:ind w:firstLine="560" w:firstLineChars="200"/>
        <w:rPr>
          <w:rFonts w:ascii="仿宋" w:hAnsi="仿宋" w:eastAsia="仿宋" w:cs="宋体"/>
          <w:sz w:val="28"/>
          <w:szCs w:val="28"/>
        </w:rPr>
      </w:pPr>
      <w:r>
        <w:rPr>
          <w:rFonts w:hint="eastAsia" w:ascii="仿宋" w:hAnsi="仿宋" w:eastAsia="仿宋" w:cs="宋体"/>
          <w:sz w:val="28"/>
          <w:szCs w:val="28"/>
        </w:rPr>
        <w:t>（一）需求和供给理论</w:t>
      </w:r>
    </w:p>
    <w:p w14:paraId="334E24F5">
      <w:pPr>
        <w:spacing w:line="360" w:lineRule="auto"/>
        <w:ind w:firstLine="560" w:firstLineChars="200"/>
        <w:rPr>
          <w:rFonts w:ascii="仿宋" w:hAnsi="仿宋" w:eastAsia="仿宋" w:cs="宋体"/>
          <w:sz w:val="28"/>
          <w:szCs w:val="28"/>
        </w:rPr>
      </w:pPr>
      <w:r>
        <w:rPr>
          <w:rFonts w:hint="eastAsia" w:ascii="仿宋" w:hAnsi="仿宋" w:eastAsia="仿宋" w:cs="宋体"/>
          <w:sz w:val="28"/>
          <w:szCs w:val="28"/>
        </w:rPr>
        <w:t xml:space="preserve">掌握需求、供给、需求定理、供给定理、需求相关弹性与供给弹性概念。掌握均衡价格、均衡数的形成，静态分析，比较静态分析。 </w:t>
      </w:r>
    </w:p>
    <w:p w14:paraId="6F3A2C2F">
      <w:pPr>
        <w:spacing w:line="360" w:lineRule="auto"/>
        <w:ind w:firstLine="560" w:firstLineChars="200"/>
        <w:rPr>
          <w:rFonts w:ascii="仿宋" w:hAnsi="仿宋" w:eastAsia="仿宋" w:cs="宋体"/>
          <w:sz w:val="28"/>
          <w:szCs w:val="28"/>
        </w:rPr>
      </w:pPr>
      <w:r>
        <w:rPr>
          <w:rFonts w:hint="eastAsia" w:ascii="仿宋" w:hAnsi="仿宋" w:eastAsia="仿宋" w:cs="宋体"/>
          <w:sz w:val="28"/>
          <w:szCs w:val="28"/>
        </w:rPr>
        <w:t>（二）效用论</w:t>
      </w:r>
    </w:p>
    <w:p w14:paraId="0241DB3D">
      <w:pPr>
        <w:spacing w:line="360" w:lineRule="auto"/>
        <w:ind w:firstLine="560" w:firstLineChars="200"/>
        <w:rPr>
          <w:rFonts w:ascii="仿宋" w:hAnsi="仿宋" w:eastAsia="仿宋" w:cs="宋体"/>
          <w:sz w:val="28"/>
          <w:szCs w:val="28"/>
        </w:rPr>
      </w:pPr>
      <w:r>
        <w:rPr>
          <w:rFonts w:hint="eastAsia" w:ascii="仿宋" w:hAnsi="仿宋" w:eastAsia="仿宋" w:cs="宋体"/>
          <w:sz w:val="28"/>
          <w:szCs w:val="28"/>
        </w:rPr>
        <w:t>掌握欲望和效用概念；理解边际效用递减规律。掌握无差异曲线，消费预算线，消费者均衡的条件，需求曲线的推导。掌握正常物品和低档物品的替代效应和收入效应。</w:t>
      </w:r>
    </w:p>
    <w:p w14:paraId="74CD4C8D">
      <w:pPr>
        <w:spacing w:line="360" w:lineRule="auto"/>
        <w:ind w:firstLine="560" w:firstLineChars="200"/>
        <w:rPr>
          <w:rFonts w:ascii="仿宋" w:hAnsi="仿宋" w:eastAsia="仿宋" w:cs="宋体"/>
          <w:sz w:val="28"/>
          <w:szCs w:val="28"/>
        </w:rPr>
      </w:pPr>
      <w:r>
        <w:rPr>
          <w:rFonts w:hint="eastAsia" w:ascii="仿宋" w:hAnsi="仿宋" w:eastAsia="仿宋" w:cs="宋体"/>
          <w:sz w:val="28"/>
          <w:szCs w:val="28"/>
        </w:rPr>
        <w:t>（三）生产论</w:t>
      </w:r>
    </w:p>
    <w:p w14:paraId="54CEEA02">
      <w:pPr>
        <w:spacing w:line="360" w:lineRule="auto"/>
        <w:ind w:firstLine="560" w:firstLineChars="200"/>
        <w:rPr>
          <w:rFonts w:ascii="仿宋" w:hAnsi="仿宋" w:eastAsia="仿宋" w:cs="宋体"/>
          <w:sz w:val="28"/>
          <w:szCs w:val="28"/>
        </w:rPr>
      </w:pPr>
      <w:r>
        <w:rPr>
          <w:rFonts w:hint="eastAsia" w:ascii="仿宋" w:hAnsi="仿宋" w:eastAsia="仿宋" w:cs="宋体"/>
          <w:sz w:val="28"/>
          <w:szCs w:val="28"/>
        </w:rPr>
        <w:t>掌握生产函数的概念，生产函数的分类；理解经济规模，规模收益递增，规模收益递减，规模收益不变；掌握产量与可变生产要素投入的函数关系，总产量，平均产量，边际产量，产量曲线，一种生产要素的最佳投入区间。</w:t>
      </w:r>
    </w:p>
    <w:p w14:paraId="67045304">
      <w:pPr>
        <w:spacing w:line="360" w:lineRule="auto"/>
        <w:ind w:firstLine="560" w:firstLineChars="200"/>
        <w:rPr>
          <w:rFonts w:ascii="仿宋" w:hAnsi="仿宋" w:eastAsia="仿宋" w:cs="宋体"/>
          <w:sz w:val="28"/>
          <w:szCs w:val="28"/>
        </w:rPr>
      </w:pPr>
      <w:r>
        <w:rPr>
          <w:rFonts w:hint="eastAsia" w:ascii="仿宋" w:hAnsi="仿宋" w:eastAsia="仿宋" w:cs="宋体"/>
          <w:sz w:val="28"/>
          <w:szCs w:val="28"/>
        </w:rPr>
        <w:t>(四)成本论</w:t>
      </w:r>
    </w:p>
    <w:p w14:paraId="7F990DD5">
      <w:pPr>
        <w:spacing w:line="360" w:lineRule="auto"/>
        <w:ind w:firstLine="560" w:firstLineChars="200"/>
        <w:rPr>
          <w:rFonts w:ascii="仿宋" w:hAnsi="仿宋" w:eastAsia="仿宋" w:cs="宋体"/>
          <w:sz w:val="28"/>
          <w:szCs w:val="28"/>
        </w:rPr>
      </w:pPr>
      <w:r>
        <w:rPr>
          <w:rFonts w:hint="eastAsia" w:ascii="仿宋" w:hAnsi="仿宋" w:eastAsia="仿宋" w:cs="宋体"/>
          <w:sz w:val="28"/>
          <w:szCs w:val="28"/>
        </w:rPr>
        <w:t>掌握收益，总收益，平均收益，边际收益，收益曲线的概念；理解成本的概念，短期成本分析，长期成本分析。掌握长期成本曲线的形成，利润最大化的确定原则。</w:t>
      </w:r>
    </w:p>
    <w:p w14:paraId="23F4F4F5">
      <w:pPr>
        <w:spacing w:line="360" w:lineRule="auto"/>
        <w:ind w:firstLine="560" w:firstLineChars="200"/>
        <w:rPr>
          <w:rFonts w:ascii="仿宋" w:hAnsi="仿宋" w:eastAsia="仿宋" w:cs="宋体"/>
          <w:sz w:val="28"/>
          <w:szCs w:val="28"/>
        </w:rPr>
      </w:pPr>
      <w:r>
        <w:rPr>
          <w:rFonts w:hint="eastAsia" w:ascii="仿宋" w:hAnsi="仿宋" w:eastAsia="仿宋" w:cs="宋体"/>
          <w:sz w:val="28"/>
          <w:szCs w:val="28"/>
        </w:rPr>
        <w:t>（五）</w:t>
      </w:r>
      <w:r>
        <w:rPr>
          <w:rFonts w:hint="eastAsia" w:ascii="仿宋" w:hAnsi="仿宋" w:eastAsia="仿宋" w:cs="宋体"/>
          <w:color w:val="000000"/>
          <w:kern w:val="0"/>
          <w:sz w:val="28"/>
          <w:szCs w:val="28"/>
        </w:rPr>
        <w:t>市场结构与厂商均衡</w:t>
      </w:r>
    </w:p>
    <w:p w14:paraId="48A02813">
      <w:pPr>
        <w:widowControl/>
        <w:spacing w:line="360" w:lineRule="auto"/>
        <w:ind w:firstLine="560" w:firstLineChars="200"/>
        <w:rPr>
          <w:rFonts w:ascii="仿宋" w:hAnsi="仿宋" w:eastAsia="仿宋" w:cs="宋体"/>
          <w:color w:val="000000"/>
          <w:kern w:val="0"/>
          <w:sz w:val="28"/>
          <w:szCs w:val="28"/>
        </w:rPr>
      </w:pPr>
      <w:r>
        <w:rPr>
          <w:rFonts w:hint="eastAsia" w:ascii="仿宋" w:hAnsi="仿宋" w:eastAsia="仿宋" w:cs="宋体"/>
          <w:color w:val="000000"/>
          <w:kern w:val="0"/>
          <w:sz w:val="28"/>
          <w:szCs w:val="28"/>
        </w:rPr>
        <w:t>掌握完全竞争、完全垄断、垄断竞争和寡头概念；</w:t>
      </w:r>
      <w:r>
        <w:rPr>
          <w:rFonts w:hint="eastAsia" w:ascii="仿宋" w:hAnsi="仿宋" w:eastAsia="仿宋" w:cs="宋体"/>
          <w:sz w:val="28"/>
          <w:szCs w:val="28"/>
        </w:rPr>
        <w:t>掌握完全竞争，完全垄断，垄断竞争，寡头垄断市场短期均衡和长期均衡的计算，完全竞争市场短期供给曲线的形成。</w:t>
      </w:r>
    </w:p>
    <w:p w14:paraId="67E64832">
      <w:pPr>
        <w:spacing w:line="360" w:lineRule="auto"/>
        <w:ind w:firstLine="560" w:firstLineChars="200"/>
        <w:rPr>
          <w:rFonts w:ascii="仿宋" w:hAnsi="仿宋" w:eastAsia="仿宋" w:cs="宋体"/>
          <w:sz w:val="28"/>
          <w:szCs w:val="28"/>
        </w:rPr>
      </w:pPr>
      <w:r>
        <w:rPr>
          <w:rFonts w:hint="eastAsia" w:ascii="仿宋" w:hAnsi="仿宋" w:eastAsia="仿宋" w:cs="宋体"/>
          <w:sz w:val="28"/>
          <w:szCs w:val="28"/>
        </w:rPr>
        <w:t>(六)生产要素价格的决定</w:t>
      </w:r>
    </w:p>
    <w:p w14:paraId="52078C73">
      <w:pPr>
        <w:spacing w:line="360" w:lineRule="auto"/>
        <w:ind w:firstLine="560" w:firstLineChars="200"/>
        <w:rPr>
          <w:rFonts w:ascii="仿宋" w:hAnsi="仿宋" w:eastAsia="仿宋" w:cs="宋体"/>
          <w:sz w:val="28"/>
          <w:szCs w:val="28"/>
        </w:rPr>
      </w:pPr>
      <w:r>
        <w:rPr>
          <w:rFonts w:hint="eastAsia" w:ascii="仿宋" w:hAnsi="仿宋" w:eastAsia="仿宋" w:cs="宋体"/>
          <w:sz w:val="28"/>
          <w:szCs w:val="28"/>
        </w:rPr>
        <w:t>掌握洛伦茨曲线和基尼系数；掌握工资、利息、地租、利润的形成原理。</w:t>
      </w:r>
    </w:p>
    <w:p w14:paraId="04739855">
      <w:pPr>
        <w:spacing w:line="360" w:lineRule="auto"/>
        <w:ind w:firstLine="560" w:firstLineChars="200"/>
        <w:rPr>
          <w:rFonts w:ascii="仿宋" w:hAnsi="仿宋" w:eastAsia="仿宋" w:cs="宋体"/>
          <w:sz w:val="28"/>
          <w:szCs w:val="28"/>
        </w:rPr>
      </w:pPr>
      <w:r>
        <w:rPr>
          <w:rFonts w:hint="eastAsia" w:ascii="仿宋" w:hAnsi="仿宋" w:eastAsia="仿宋" w:cs="宋体"/>
          <w:sz w:val="28"/>
          <w:szCs w:val="28"/>
        </w:rPr>
        <w:t>（七）市场失灵和微观经济政策</w:t>
      </w:r>
    </w:p>
    <w:p w14:paraId="52B0DE20">
      <w:pPr>
        <w:spacing w:line="360" w:lineRule="auto"/>
        <w:ind w:firstLine="560" w:firstLineChars="200"/>
        <w:rPr>
          <w:rFonts w:ascii="仿宋" w:hAnsi="仿宋" w:eastAsia="仿宋" w:cs="宋体"/>
          <w:sz w:val="28"/>
          <w:szCs w:val="28"/>
        </w:rPr>
      </w:pPr>
      <w:r>
        <w:rPr>
          <w:rFonts w:hint="eastAsia" w:ascii="仿宋" w:hAnsi="仿宋" w:eastAsia="仿宋" w:cs="宋体"/>
          <w:sz w:val="28"/>
          <w:szCs w:val="28"/>
        </w:rPr>
        <w:t>掌握外部影响及其分类。</w:t>
      </w:r>
    </w:p>
    <w:p w14:paraId="44102255">
      <w:pPr>
        <w:spacing w:line="360" w:lineRule="auto"/>
        <w:ind w:firstLine="562" w:firstLineChars="200"/>
        <w:rPr>
          <w:rFonts w:ascii="仿宋" w:hAnsi="仿宋" w:eastAsia="仿宋" w:cs="宋体"/>
          <w:b/>
          <w:bCs/>
          <w:sz w:val="28"/>
          <w:szCs w:val="28"/>
        </w:rPr>
      </w:pPr>
      <w:r>
        <w:rPr>
          <w:rFonts w:hint="eastAsia" w:ascii="仿宋" w:hAnsi="仿宋" w:eastAsia="仿宋" w:cs="宋体"/>
          <w:b/>
          <w:bCs/>
          <w:sz w:val="28"/>
          <w:szCs w:val="28"/>
        </w:rPr>
        <w:t>第二部分 宏观经济学</w:t>
      </w:r>
    </w:p>
    <w:p w14:paraId="3EFD0DB3">
      <w:pPr>
        <w:widowControl/>
        <w:spacing w:line="360" w:lineRule="auto"/>
        <w:ind w:firstLine="560" w:firstLineChars="200"/>
        <w:jc w:val="left"/>
        <w:rPr>
          <w:rFonts w:ascii="仿宋" w:hAnsi="仿宋" w:eastAsia="仿宋" w:cs="宋体"/>
          <w:kern w:val="0"/>
          <w:sz w:val="28"/>
          <w:szCs w:val="28"/>
        </w:rPr>
      </w:pPr>
      <w:r>
        <w:rPr>
          <w:rFonts w:hint="eastAsia" w:ascii="仿宋" w:hAnsi="仿宋" w:eastAsia="仿宋" w:cs="宋体"/>
          <w:kern w:val="0"/>
          <w:sz w:val="28"/>
          <w:szCs w:val="28"/>
        </w:rPr>
        <w:t>(八)宏观经济的基本指标及其衡量</w:t>
      </w:r>
    </w:p>
    <w:p w14:paraId="17667B50">
      <w:pPr>
        <w:widowControl/>
        <w:spacing w:line="360" w:lineRule="auto"/>
        <w:ind w:firstLine="560" w:firstLineChars="200"/>
        <w:jc w:val="left"/>
        <w:rPr>
          <w:rFonts w:ascii="仿宋" w:hAnsi="仿宋" w:eastAsia="仿宋" w:cs="宋体"/>
          <w:kern w:val="0"/>
          <w:sz w:val="28"/>
          <w:szCs w:val="28"/>
        </w:rPr>
      </w:pPr>
      <w:r>
        <w:rPr>
          <w:rFonts w:hint="eastAsia" w:ascii="仿宋" w:hAnsi="仿宋" w:eastAsia="仿宋" w:cs="宋体"/>
          <w:kern w:val="0"/>
          <w:sz w:val="28"/>
          <w:szCs w:val="28"/>
        </w:rPr>
        <w:t>掌握国内生产总值（GDP）与国民生产总值（GNP）、名义GDP和实际GDP；基本掌握国民收入核算方法、国民收入均衡条件。</w:t>
      </w:r>
    </w:p>
    <w:p w14:paraId="2E475E07">
      <w:pPr>
        <w:widowControl/>
        <w:spacing w:line="360" w:lineRule="auto"/>
        <w:ind w:left="420" w:leftChars="200" w:firstLine="140" w:firstLineChars="50"/>
        <w:jc w:val="left"/>
        <w:rPr>
          <w:rFonts w:ascii="仿宋" w:hAnsi="仿宋" w:eastAsia="仿宋" w:cs="宋体"/>
          <w:kern w:val="0"/>
          <w:sz w:val="28"/>
          <w:szCs w:val="28"/>
        </w:rPr>
      </w:pPr>
      <w:r>
        <w:rPr>
          <w:rFonts w:hint="eastAsia" w:ascii="仿宋" w:hAnsi="仿宋" w:eastAsia="仿宋" w:cs="宋体"/>
          <w:kern w:val="0"/>
          <w:sz w:val="28"/>
          <w:szCs w:val="28"/>
        </w:rPr>
        <w:t>（九）国民收入的决定:收入—支出模型</w:t>
      </w:r>
    </w:p>
    <w:p w14:paraId="29C0CB3D">
      <w:pPr>
        <w:widowControl/>
        <w:spacing w:line="360" w:lineRule="auto"/>
        <w:ind w:firstLine="560" w:firstLineChars="200"/>
        <w:jc w:val="left"/>
        <w:rPr>
          <w:rFonts w:ascii="仿宋" w:hAnsi="仿宋" w:eastAsia="仿宋" w:cs="宋体"/>
          <w:kern w:val="0"/>
          <w:sz w:val="28"/>
          <w:szCs w:val="28"/>
        </w:rPr>
      </w:pPr>
      <w:r>
        <w:rPr>
          <w:rFonts w:hint="eastAsia" w:ascii="仿宋" w:hAnsi="仿宋" w:eastAsia="仿宋" w:cs="宋体"/>
          <w:kern w:val="0"/>
          <w:sz w:val="28"/>
          <w:szCs w:val="28"/>
        </w:rPr>
        <w:t>掌握均衡产出、消费函数与储蓄函数；基本掌握国民收入的决定及变动、乘数原理、乘数作用机制与条件。</w:t>
      </w:r>
    </w:p>
    <w:p w14:paraId="2C6B5464">
      <w:pPr>
        <w:spacing w:line="360" w:lineRule="auto"/>
        <w:ind w:left="1" w:firstLine="560" w:firstLineChars="200"/>
        <w:jc w:val="left"/>
        <w:rPr>
          <w:rFonts w:ascii="仿宋" w:hAnsi="仿宋" w:eastAsia="仿宋" w:cs="宋体"/>
          <w:sz w:val="28"/>
          <w:szCs w:val="28"/>
        </w:rPr>
      </w:pPr>
      <w:r>
        <w:rPr>
          <w:rFonts w:hint="eastAsia" w:ascii="仿宋" w:hAnsi="仿宋" w:eastAsia="仿宋" w:cs="宋体"/>
          <w:kern w:val="0"/>
          <w:sz w:val="28"/>
          <w:szCs w:val="28"/>
        </w:rPr>
        <w:t>（十）国民收入的决定:IS—LM模型</w:t>
      </w:r>
    </w:p>
    <w:p w14:paraId="03584AB3">
      <w:pPr>
        <w:spacing w:line="360" w:lineRule="auto"/>
        <w:ind w:left="1" w:firstLine="560" w:firstLineChars="200"/>
        <w:jc w:val="left"/>
        <w:rPr>
          <w:rFonts w:ascii="仿宋" w:hAnsi="仿宋" w:eastAsia="仿宋" w:cs="宋体"/>
          <w:kern w:val="0"/>
          <w:sz w:val="28"/>
          <w:szCs w:val="28"/>
        </w:rPr>
      </w:pPr>
      <w:r>
        <w:rPr>
          <w:rFonts w:hint="eastAsia" w:ascii="仿宋" w:hAnsi="仿宋" w:eastAsia="仿宋" w:cs="宋体"/>
          <w:kern w:val="0"/>
          <w:sz w:val="28"/>
          <w:szCs w:val="28"/>
        </w:rPr>
        <w:t>掌握投资的决定、IS曲线、货币供求与利率决定、LM曲线、IS－LM模型、凯恩斯的基本理论框架。</w:t>
      </w:r>
    </w:p>
    <w:p w14:paraId="45AA9780">
      <w:pPr>
        <w:spacing w:line="360" w:lineRule="auto"/>
        <w:ind w:firstLine="560" w:firstLineChars="200"/>
        <w:jc w:val="left"/>
        <w:rPr>
          <w:rFonts w:ascii="仿宋" w:hAnsi="仿宋" w:eastAsia="仿宋" w:cs="宋体"/>
          <w:kern w:val="0"/>
          <w:sz w:val="28"/>
          <w:szCs w:val="28"/>
        </w:rPr>
      </w:pPr>
      <w:r>
        <w:rPr>
          <w:rFonts w:hint="eastAsia" w:ascii="仿宋" w:hAnsi="仿宋" w:eastAsia="仿宋" w:cs="宋体"/>
          <w:kern w:val="0"/>
          <w:sz w:val="28"/>
          <w:szCs w:val="28"/>
        </w:rPr>
        <w:t>（十一）国民收入的决定:总需求—总供给模型</w:t>
      </w:r>
    </w:p>
    <w:p w14:paraId="2358BB4E">
      <w:pPr>
        <w:widowControl/>
        <w:spacing w:line="360" w:lineRule="auto"/>
        <w:ind w:firstLine="560" w:firstLineChars="200"/>
        <w:jc w:val="left"/>
        <w:rPr>
          <w:rFonts w:ascii="仿宋" w:hAnsi="仿宋" w:eastAsia="仿宋" w:cs="宋体"/>
          <w:kern w:val="0"/>
          <w:sz w:val="28"/>
          <w:szCs w:val="28"/>
        </w:rPr>
      </w:pPr>
      <w:r>
        <w:rPr>
          <w:rFonts w:hint="eastAsia" w:ascii="仿宋" w:hAnsi="仿宋" w:eastAsia="仿宋" w:cs="宋体"/>
          <w:kern w:val="0"/>
          <w:sz w:val="28"/>
          <w:szCs w:val="28"/>
        </w:rPr>
        <w:t>掌握总需求曲线（AD）、总供给曲线（AS）；基本掌握总需求—总供给（AD-AS）模型。</w:t>
      </w:r>
    </w:p>
    <w:p w14:paraId="2D200FB9">
      <w:pPr>
        <w:spacing w:line="360" w:lineRule="auto"/>
        <w:ind w:firstLine="560" w:firstLineChars="200"/>
        <w:jc w:val="left"/>
        <w:rPr>
          <w:rFonts w:ascii="仿宋" w:hAnsi="仿宋" w:eastAsia="仿宋" w:cs="宋体"/>
          <w:kern w:val="1"/>
          <w:sz w:val="28"/>
          <w:szCs w:val="28"/>
        </w:rPr>
      </w:pPr>
      <w:r>
        <w:rPr>
          <w:rFonts w:hint="eastAsia" w:ascii="仿宋" w:hAnsi="仿宋" w:eastAsia="仿宋" w:cs="宋体"/>
          <w:kern w:val="0"/>
          <w:sz w:val="28"/>
          <w:szCs w:val="28"/>
        </w:rPr>
        <w:t>(十二)失业与通货膨胀</w:t>
      </w:r>
    </w:p>
    <w:p w14:paraId="541AEE1E">
      <w:pPr>
        <w:spacing w:line="360" w:lineRule="auto"/>
        <w:ind w:firstLine="560" w:firstLineChars="200"/>
        <w:jc w:val="left"/>
        <w:rPr>
          <w:rFonts w:ascii="仿宋" w:hAnsi="仿宋" w:eastAsia="仿宋" w:cs="宋体"/>
          <w:kern w:val="1"/>
          <w:sz w:val="28"/>
          <w:szCs w:val="28"/>
        </w:rPr>
      </w:pPr>
      <w:r>
        <w:rPr>
          <w:rFonts w:hint="eastAsia" w:ascii="仿宋" w:hAnsi="仿宋" w:eastAsia="仿宋" w:cs="宋体"/>
          <w:kern w:val="0"/>
          <w:sz w:val="28"/>
          <w:szCs w:val="28"/>
        </w:rPr>
        <w:t>理解</w:t>
      </w:r>
      <w:r>
        <w:rPr>
          <w:rFonts w:hint="eastAsia" w:ascii="仿宋" w:hAnsi="仿宋" w:eastAsia="仿宋" w:cs="宋体"/>
          <w:kern w:val="1"/>
          <w:sz w:val="28"/>
          <w:szCs w:val="28"/>
        </w:rPr>
        <w:t>失业及其类型、奥肯定律、失业与通货膨胀的关系、菲利普斯曲线；掌握通货膨胀：成因、效果与政策。</w:t>
      </w:r>
    </w:p>
    <w:p w14:paraId="066D4166">
      <w:pPr>
        <w:spacing w:line="360" w:lineRule="auto"/>
        <w:ind w:firstLine="560" w:firstLineChars="200"/>
        <w:jc w:val="left"/>
        <w:rPr>
          <w:rFonts w:ascii="仿宋" w:hAnsi="仿宋" w:eastAsia="仿宋" w:cs="宋体"/>
          <w:kern w:val="1"/>
          <w:sz w:val="28"/>
          <w:szCs w:val="28"/>
        </w:rPr>
      </w:pPr>
      <w:r>
        <w:rPr>
          <w:rFonts w:hint="eastAsia" w:ascii="仿宋" w:hAnsi="仿宋" w:eastAsia="仿宋" w:cs="宋体"/>
          <w:kern w:val="0"/>
          <w:sz w:val="28"/>
          <w:szCs w:val="28"/>
        </w:rPr>
        <w:t>（十三）</w:t>
      </w:r>
      <w:r>
        <w:rPr>
          <w:rFonts w:hint="eastAsia" w:ascii="仿宋" w:hAnsi="仿宋" w:eastAsia="仿宋" w:cs="宋体"/>
          <w:kern w:val="1"/>
          <w:sz w:val="28"/>
          <w:szCs w:val="28"/>
        </w:rPr>
        <w:t>开放的宏观经济模型</w:t>
      </w:r>
    </w:p>
    <w:p w14:paraId="0FBF3D3A">
      <w:pPr>
        <w:spacing w:line="360" w:lineRule="auto"/>
        <w:ind w:firstLine="560" w:firstLineChars="200"/>
        <w:jc w:val="left"/>
        <w:rPr>
          <w:rFonts w:ascii="仿宋" w:hAnsi="仿宋" w:eastAsia="仿宋" w:cs="宋体"/>
          <w:kern w:val="1"/>
          <w:sz w:val="28"/>
          <w:szCs w:val="28"/>
        </w:rPr>
      </w:pPr>
      <w:r>
        <w:rPr>
          <w:rFonts w:hint="eastAsia" w:ascii="仿宋" w:hAnsi="仿宋" w:eastAsia="仿宋" w:cs="宋体"/>
          <w:kern w:val="1"/>
          <w:sz w:val="28"/>
          <w:szCs w:val="28"/>
        </w:rPr>
        <w:t>了解汇率与国际收支；基本掌握开放条件下的宏观经济均衡（IS-LM-BP）模型、调整内部均衡和外部均衡的政策。</w:t>
      </w:r>
    </w:p>
    <w:p w14:paraId="4DCF305F">
      <w:pPr>
        <w:spacing w:line="360" w:lineRule="auto"/>
        <w:ind w:firstLine="560" w:firstLineChars="200"/>
        <w:jc w:val="left"/>
        <w:rPr>
          <w:rFonts w:ascii="仿宋" w:hAnsi="仿宋" w:eastAsia="仿宋" w:cs="宋体"/>
          <w:kern w:val="1"/>
          <w:sz w:val="28"/>
          <w:szCs w:val="28"/>
        </w:rPr>
      </w:pPr>
      <w:r>
        <w:rPr>
          <w:rFonts w:hint="eastAsia" w:ascii="仿宋" w:hAnsi="仿宋" w:eastAsia="仿宋" w:cs="宋体"/>
          <w:kern w:val="0"/>
          <w:sz w:val="28"/>
          <w:szCs w:val="28"/>
        </w:rPr>
        <w:t>（十四） 宏观经济政策</w:t>
      </w:r>
    </w:p>
    <w:p w14:paraId="0B707456">
      <w:pPr>
        <w:spacing w:line="360" w:lineRule="auto"/>
        <w:ind w:firstLine="560" w:firstLineChars="200"/>
        <w:jc w:val="left"/>
        <w:rPr>
          <w:rFonts w:ascii="仿宋" w:hAnsi="仿宋" w:eastAsia="仿宋" w:cs="宋体"/>
          <w:kern w:val="1"/>
          <w:sz w:val="28"/>
          <w:szCs w:val="28"/>
        </w:rPr>
      </w:pPr>
      <w:r>
        <w:rPr>
          <w:rFonts w:hint="eastAsia" w:ascii="仿宋" w:hAnsi="仿宋" w:eastAsia="仿宋" w:cs="宋体"/>
          <w:kern w:val="1"/>
          <w:sz w:val="28"/>
          <w:szCs w:val="28"/>
        </w:rPr>
        <w:t>基本掌握政策效果的IS-LM分析方法；掌握财政政策、货币政策以及政策效果的“IS-LM模型”分析方法和政策的使用。</w:t>
      </w:r>
    </w:p>
    <w:p w14:paraId="55D27C12">
      <w:pPr>
        <w:spacing w:line="360" w:lineRule="auto"/>
        <w:ind w:firstLine="560" w:firstLineChars="200"/>
        <w:jc w:val="left"/>
        <w:rPr>
          <w:rFonts w:ascii="仿宋" w:hAnsi="仿宋" w:eastAsia="仿宋" w:cs="宋体"/>
          <w:kern w:val="0"/>
          <w:sz w:val="28"/>
          <w:szCs w:val="28"/>
        </w:rPr>
      </w:pPr>
      <w:r>
        <w:rPr>
          <w:rFonts w:hint="eastAsia" w:ascii="仿宋" w:hAnsi="仿宋" w:eastAsia="仿宋" w:cs="宋体"/>
          <w:kern w:val="0"/>
          <w:sz w:val="28"/>
          <w:szCs w:val="28"/>
        </w:rPr>
        <w:t>（十五）经济增长</w:t>
      </w:r>
    </w:p>
    <w:p w14:paraId="6B2D8A5A">
      <w:pPr>
        <w:spacing w:line="360" w:lineRule="auto"/>
        <w:ind w:firstLine="560" w:firstLineChars="200"/>
        <w:jc w:val="left"/>
        <w:rPr>
          <w:rFonts w:eastAsia="仿宋"/>
          <w:b/>
          <w:sz w:val="28"/>
          <w:szCs w:val="28"/>
        </w:rPr>
      </w:pPr>
      <w:r>
        <w:rPr>
          <w:rFonts w:hint="eastAsia" w:ascii="仿宋" w:hAnsi="仿宋" w:eastAsia="仿宋" w:cs="宋体"/>
          <w:kern w:val="1"/>
          <w:sz w:val="28"/>
          <w:szCs w:val="28"/>
        </w:rPr>
        <w:t>掌握经济周期概念及一般特征；经济增长与经济发展；经济增长模型—新古典增长理论；促进经济增长的政策。</w:t>
      </w:r>
    </w:p>
    <w:p w14:paraId="53AE82A8">
      <w:pPr>
        <w:pStyle w:val="3"/>
        <w:rPr>
          <w:rFonts w:eastAsia="黑体"/>
          <w:b/>
          <w:sz w:val="28"/>
          <w:szCs w:val="28"/>
        </w:rPr>
      </w:pPr>
      <w:r>
        <w:rPr>
          <w:rFonts w:eastAsia="黑体"/>
          <w:b/>
          <w:sz w:val="28"/>
          <w:szCs w:val="28"/>
        </w:rPr>
        <w:t>三、题型</w:t>
      </w:r>
      <w:r>
        <w:rPr>
          <w:rFonts w:hint="eastAsia" w:eastAsia="黑体"/>
          <w:b/>
          <w:sz w:val="28"/>
          <w:szCs w:val="28"/>
        </w:rPr>
        <w:t>结构</w:t>
      </w:r>
    </w:p>
    <w:p w14:paraId="0A19588E">
      <w:pPr>
        <w:spacing w:line="360" w:lineRule="auto"/>
        <w:ind w:firstLine="560" w:firstLineChars="200"/>
        <w:jc w:val="left"/>
        <w:rPr>
          <w:rFonts w:hint="eastAsia" w:ascii="仿宋" w:hAnsi="仿宋" w:eastAsia="仿宋" w:cs="宋体"/>
          <w:kern w:val="1"/>
          <w:sz w:val="28"/>
          <w:szCs w:val="28"/>
          <w:lang w:eastAsia="zh-CN"/>
        </w:rPr>
      </w:pPr>
      <w:r>
        <w:rPr>
          <w:rFonts w:hint="eastAsia" w:ascii="仿宋" w:hAnsi="仿宋" w:eastAsia="仿宋" w:cs="宋体"/>
          <w:kern w:val="1"/>
          <w:sz w:val="28"/>
          <w:szCs w:val="28"/>
        </w:rPr>
        <w:t>考试包</w:t>
      </w:r>
      <w:r>
        <w:rPr>
          <w:rFonts w:hint="eastAsia" w:ascii="仿宋" w:hAnsi="仿宋" w:eastAsia="仿宋" w:cs="宋体"/>
          <w:kern w:val="1"/>
          <w:sz w:val="28"/>
          <w:szCs w:val="28"/>
          <w:lang w:val="en-US" w:eastAsia="zh-CN"/>
        </w:rPr>
        <w:t>含四</w:t>
      </w:r>
      <w:r>
        <w:rPr>
          <w:rFonts w:hint="eastAsia" w:ascii="仿宋" w:hAnsi="仿宋" w:eastAsia="仿宋" w:cs="宋体"/>
          <w:kern w:val="1"/>
          <w:sz w:val="28"/>
          <w:szCs w:val="28"/>
        </w:rPr>
        <w:t>种题型：名词解释题、</w:t>
      </w:r>
      <w:r>
        <w:rPr>
          <w:rFonts w:hint="eastAsia" w:ascii="仿宋" w:hAnsi="仿宋" w:eastAsia="仿宋" w:cs="宋体"/>
          <w:kern w:val="1"/>
          <w:sz w:val="28"/>
          <w:szCs w:val="28"/>
          <w:lang w:val="en-US" w:eastAsia="zh-CN"/>
        </w:rPr>
        <w:t>判断题、</w:t>
      </w:r>
      <w:r>
        <w:rPr>
          <w:rFonts w:hint="eastAsia" w:ascii="仿宋" w:hAnsi="仿宋" w:eastAsia="仿宋" w:cs="宋体"/>
          <w:kern w:val="1"/>
          <w:sz w:val="28"/>
          <w:szCs w:val="28"/>
        </w:rPr>
        <w:t>简答题论述题</w:t>
      </w:r>
      <w:r>
        <w:rPr>
          <w:rFonts w:hint="eastAsia" w:ascii="仿宋" w:hAnsi="仿宋" w:eastAsia="仿宋" w:cs="宋体"/>
          <w:kern w:val="1"/>
          <w:sz w:val="28"/>
          <w:szCs w:val="28"/>
          <w:lang w:eastAsia="zh-CN"/>
        </w:rPr>
        <w:t>。</w:t>
      </w:r>
    </w:p>
    <w:p w14:paraId="1A99F717">
      <w:pPr>
        <w:rPr>
          <w:rFonts w:eastAsia="黑体"/>
          <w:b/>
          <w:sz w:val="28"/>
          <w:szCs w:val="28"/>
        </w:rPr>
      </w:pPr>
      <w:r>
        <w:rPr>
          <w:rFonts w:eastAsia="黑体"/>
          <w:b/>
          <w:sz w:val="28"/>
          <w:szCs w:val="28"/>
        </w:rPr>
        <w:t>四、</w:t>
      </w:r>
      <w:r>
        <w:rPr>
          <w:rFonts w:hint="eastAsia" w:eastAsia="黑体"/>
          <w:b/>
          <w:sz w:val="28"/>
          <w:szCs w:val="28"/>
        </w:rPr>
        <w:t>参考书目</w:t>
      </w:r>
    </w:p>
    <w:p w14:paraId="38ACC686">
      <w:pPr>
        <w:spacing w:line="360" w:lineRule="auto"/>
        <w:ind w:firstLine="560" w:firstLineChars="200"/>
        <w:jc w:val="left"/>
        <w:rPr>
          <w:rFonts w:ascii="仿宋" w:hAnsi="仿宋" w:eastAsia="仿宋" w:cs="宋体"/>
          <w:kern w:val="1"/>
          <w:sz w:val="28"/>
          <w:szCs w:val="28"/>
        </w:rPr>
      </w:pPr>
      <w:r>
        <w:rPr>
          <w:rFonts w:hint="eastAsia" w:ascii="仿宋" w:hAnsi="仿宋" w:eastAsia="仿宋" w:cs="宋体"/>
          <w:kern w:val="1"/>
          <w:sz w:val="28"/>
          <w:szCs w:val="28"/>
        </w:rPr>
        <w:t>《西方经济学（微观部分）》 第八版 高鸿业主编 中国人民大学出版社 2021年8月。</w:t>
      </w:r>
    </w:p>
    <w:p w14:paraId="54553407">
      <w:pPr>
        <w:spacing w:line="360" w:lineRule="auto"/>
        <w:ind w:firstLine="560" w:firstLineChars="200"/>
        <w:jc w:val="left"/>
        <w:rPr>
          <w:rFonts w:ascii="仿宋" w:hAnsi="仿宋" w:eastAsia="仿宋" w:cs="宋体"/>
          <w:kern w:val="1"/>
          <w:sz w:val="28"/>
          <w:szCs w:val="28"/>
        </w:rPr>
      </w:pPr>
      <w:r>
        <w:rPr>
          <w:rFonts w:hint="eastAsia" w:ascii="仿宋" w:hAnsi="仿宋" w:eastAsia="仿宋" w:cs="宋体"/>
          <w:kern w:val="1"/>
          <w:sz w:val="28"/>
          <w:szCs w:val="28"/>
        </w:rPr>
        <w:t>《西方经济学（宏观部分）》 第八版 高鸿业主编 中国人民大学出版社 2021年8月。</w:t>
      </w:r>
    </w:p>
    <w:p w14:paraId="45640284">
      <w:pPr>
        <w:pStyle w:val="3"/>
        <w:rPr>
          <w:rFonts w:eastAsia="黑体"/>
          <w:b/>
          <w:sz w:val="28"/>
          <w:szCs w:val="28"/>
        </w:rPr>
      </w:pPr>
      <w:r>
        <w:rPr>
          <w:rFonts w:hint="eastAsia" w:eastAsia="黑体"/>
          <w:b/>
          <w:sz w:val="28"/>
          <w:szCs w:val="28"/>
        </w:rPr>
        <w:t>五</w:t>
      </w:r>
      <w:r>
        <w:rPr>
          <w:rFonts w:eastAsia="黑体"/>
          <w:b/>
          <w:sz w:val="28"/>
          <w:szCs w:val="28"/>
        </w:rPr>
        <w:t>、</w:t>
      </w:r>
      <w:r>
        <w:rPr>
          <w:rFonts w:hint="eastAsia" w:eastAsia="黑体"/>
          <w:b/>
          <w:sz w:val="28"/>
          <w:szCs w:val="28"/>
        </w:rPr>
        <w:t>其它要求</w:t>
      </w:r>
    </w:p>
    <w:p w14:paraId="3633A221">
      <w:pPr>
        <w:ind w:firstLine="560" w:firstLineChars="200"/>
        <w:rPr>
          <w:rFonts w:hint="eastAsia" w:ascii="仿宋_GB2312" w:eastAsia="仿宋_GB2312"/>
          <w:sz w:val="28"/>
          <w:szCs w:val="28"/>
          <w:lang w:eastAsia="zh-CN"/>
        </w:rPr>
      </w:pPr>
      <w:r>
        <w:rPr>
          <w:rFonts w:hint="eastAsia" w:ascii="仿宋_GB2312" w:eastAsia="仿宋_GB2312"/>
          <w:sz w:val="28"/>
          <w:szCs w:val="28"/>
        </w:rPr>
        <w:t>具体考试时间以学院复试安排为准。</w:t>
      </w:r>
    </w:p>
    <w:p w14:paraId="73455DBC">
      <w:pPr>
        <w:pStyle w:val="3"/>
        <w:spacing w:line="240" w:lineRule="auto"/>
        <w:rPr>
          <w:rFonts w:hint="eastAsia" w:eastAsia="黑体"/>
          <w:b/>
          <w:sz w:val="28"/>
          <w:szCs w:val="28"/>
          <w:lang w:eastAsia="zh-CN"/>
        </w:rPr>
      </w:pPr>
    </w:p>
    <w:sectPr>
      <w:pgSz w:w="11906" w:h="16838"/>
      <w:pgMar w:top="1440" w:right="1644" w:bottom="1560" w:left="164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512EFB0-CFDF-47BE-A2EE-C73393C6E1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0010101010101"/>
    <w:charset w:val="86"/>
    <w:family w:val="auto"/>
    <w:pitch w:val="default"/>
    <w:sig w:usb0="00000001" w:usb1="080E0000" w:usb2="00000000" w:usb3="00000000" w:csb0="00040000" w:csb1="00000000"/>
    <w:embedRegular r:id="rId2" w:fontKey="{7D9A42FE-DA7E-42CF-B9E3-6B3D1BEDD644}"/>
  </w:font>
  <w:font w:name="仿宋_GB2312">
    <w:panose1 w:val="02010609030101010101"/>
    <w:charset w:val="86"/>
    <w:family w:val="auto"/>
    <w:pitch w:val="default"/>
    <w:sig w:usb0="00000001" w:usb1="080E0000" w:usb2="00000000" w:usb3="00000000" w:csb0="00040000" w:csb1="00000000"/>
    <w:embedRegular r:id="rId3" w:fontKey="{8479652D-33B1-4A04-9C6C-95D5274B4DF1}"/>
  </w:font>
  <w:font w:name="WPSEMBED3">
    <w:panose1 w:val="02010609030101010101"/>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embedRegular r:id="rId4" w:fontKey="{02B477BC-42DA-49AD-8EBF-4DC9D851E98E}"/>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09069B"/>
    <w:multiLevelType w:val="singleLevel"/>
    <w:tmpl w:val="1109069B"/>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UzOWY0ODg1YjVhMDA0ZWVhODk4MjE0ODA5Nzg1ZWEifQ=="/>
  </w:docVars>
  <w:rsids>
    <w:rsidRoot w:val="00B31588"/>
    <w:rsid w:val="000121E7"/>
    <w:rsid w:val="0001695D"/>
    <w:rsid w:val="00017E23"/>
    <w:rsid w:val="00020CAA"/>
    <w:rsid w:val="00037062"/>
    <w:rsid w:val="00037121"/>
    <w:rsid w:val="00044A34"/>
    <w:rsid w:val="00077BBC"/>
    <w:rsid w:val="000802BB"/>
    <w:rsid w:val="00082807"/>
    <w:rsid w:val="00086642"/>
    <w:rsid w:val="000953FE"/>
    <w:rsid w:val="000A48B5"/>
    <w:rsid w:val="000B01AD"/>
    <w:rsid w:val="000B1876"/>
    <w:rsid w:val="000C40B3"/>
    <w:rsid w:val="000C6ED3"/>
    <w:rsid w:val="000D3A6F"/>
    <w:rsid w:val="000D44C7"/>
    <w:rsid w:val="000F4EF7"/>
    <w:rsid w:val="00106F28"/>
    <w:rsid w:val="0013718C"/>
    <w:rsid w:val="00144102"/>
    <w:rsid w:val="001715C6"/>
    <w:rsid w:val="00193B5F"/>
    <w:rsid w:val="001B165A"/>
    <w:rsid w:val="001B6438"/>
    <w:rsid w:val="001C1697"/>
    <w:rsid w:val="001C1FA0"/>
    <w:rsid w:val="001C3DD9"/>
    <w:rsid w:val="001F3B2B"/>
    <w:rsid w:val="001F73A1"/>
    <w:rsid w:val="001F7650"/>
    <w:rsid w:val="00203FCE"/>
    <w:rsid w:val="00205199"/>
    <w:rsid w:val="0020727C"/>
    <w:rsid w:val="00215954"/>
    <w:rsid w:val="00217D50"/>
    <w:rsid w:val="002204CE"/>
    <w:rsid w:val="00234A8C"/>
    <w:rsid w:val="00246C7C"/>
    <w:rsid w:val="00252546"/>
    <w:rsid w:val="00253F77"/>
    <w:rsid w:val="00261691"/>
    <w:rsid w:val="00264C1F"/>
    <w:rsid w:val="002726F9"/>
    <w:rsid w:val="00283C7C"/>
    <w:rsid w:val="00295655"/>
    <w:rsid w:val="002B40E3"/>
    <w:rsid w:val="002B6152"/>
    <w:rsid w:val="002C653D"/>
    <w:rsid w:val="002E0981"/>
    <w:rsid w:val="00301BC3"/>
    <w:rsid w:val="00327DAC"/>
    <w:rsid w:val="00331BB3"/>
    <w:rsid w:val="00345DB9"/>
    <w:rsid w:val="00373C8D"/>
    <w:rsid w:val="00376F49"/>
    <w:rsid w:val="003833D0"/>
    <w:rsid w:val="003B26E1"/>
    <w:rsid w:val="003C6C8E"/>
    <w:rsid w:val="004138B0"/>
    <w:rsid w:val="00427D7A"/>
    <w:rsid w:val="00441D21"/>
    <w:rsid w:val="00453E32"/>
    <w:rsid w:val="00455326"/>
    <w:rsid w:val="00457E76"/>
    <w:rsid w:val="00465D1B"/>
    <w:rsid w:val="004849F2"/>
    <w:rsid w:val="00496B58"/>
    <w:rsid w:val="004A480A"/>
    <w:rsid w:val="004F68A1"/>
    <w:rsid w:val="005016CC"/>
    <w:rsid w:val="00502412"/>
    <w:rsid w:val="00504E76"/>
    <w:rsid w:val="00516CB3"/>
    <w:rsid w:val="00522E4F"/>
    <w:rsid w:val="005354F1"/>
    <w:rsid w:val="00544F9A"/>
    <w:rsid w:val="00553BC6"/>
    <w:rsid w:val="00553EF9"/>
    <w:rsid w:val="00554C55"/>
    <w:rsid w:val="00582509"/>
    <w:rsid w:val="00595B35"/>
    <w:rsid w:val="00595C43"/>
    <w:rsid w:val="005B202F"/>
    <w:rsid w:val="005E35A0"/>
    <w:rsid w:val="006207E1"/>
    <w:rsid w:val="00643F28"/>
    <w:rsid w:val="00677EE0"/>
    <w:rsid w:val="00696F63"/>
    <w:rsid w:val="006D21B4"/>
    <w:rsid w:val="006D4A65"/>
    <w:rsid w:val="006E1BB6"/>
    <w:rsid w:val="006F60AF"/>
    <w:rsid w:val="00712491"/>
    <w:rsid w:val="00717F48"/>
    <w:rsid w:val="00766ACA"/>
    <w:rsid w:val="00780E5F"/>
    <w:rsid w:val="00792BE0"/>
    <w:rsid w:val="007E2750"/>
    <w:rsid w:val="007E62EE"/>
    <w:rsid w:val="00801544"/>
    <w:rsid w:val="00835351"/>
    <w:rsid w:val="00835448"/>
    <w:rsid w:val="008504BE"/>
    <w:rsid w:val="00860FE9"/>
    <w:rsid w:val="00866FF1"/>
    <w:rsid w:val="0086739F"/>
    <w:rsid w:val="008847BF"/>
    <w:rsid w:val="008C5AF3"/>
    <w:rsid w:val="008F1419"/>
    <w:rsid w:val="008F2CA3"/>
    <w:rsid w:val="00917693"/>
    <w:rsid w:val="00935054"/>
    <w:rsid w:val="00941B69"/>
    <w:rsid w:val="0095120A"/>
    <w:rsid w:val="00954CF9"/>
    <w:rsid w:val="0096208D"/>
    <w:rsid w:val="009677E1"/>
    <w:rsid w:val="0098134C"/>
    <w:rsid w:val="009D26DE"/>
    <w:rsid w:val="009D6E71"/>
    <w:rsid w:val="009E5879"/>
    <w:rsid w:val="009E7FBF"/>
    <w:rsid w:val="009F1F7D"/>
    <w:rsid w:val="009F65A0"/>
    <w:rsid w:val="00A07F4F"/>
    <w:rsid w:val="00A10145"/>
    <w:rsid w:val="00A211BA"/>
    <w:rsid w:val="00A27890"/>
    <w:rsid w:val="00A374CA"/>
    <w:rsid w:val="00A37E16"/>
    <w:rsid w:val="00A43BA2"/>
    <w:rsid w:val="00A56CD9"/>
    <w:rsid w:val="00A72013"/>
    <w:rsid w:val="00A72CF2"/>
    <w:rsid w:val="00A74B9B"/>
    <w:rsid w:val="00A85A45"/>
    <w:rsid w:val="00AC4A18"/>
    <w:rsid w:val="00AD6DC7"/>
    <w:rsid w:val="00AE6FD8"/>
    <w:rsid w:val="00AF4D8A"/>
    <w:rsid w:val="00B07E48"/>
    <w:rsid w:val="00B31588"/>
    <w:rsid w:val="00B3388A"/>
    <w:rsid w:val="00B43D8C"/>
    <w:rsid w:val="00BC241D"/>
    <w:rsid w:val="00BC2478"/>
    <w:rsid w:val="00BD6CF5"/>
    <w:rsid w:val="00BE3F65"/>
    <w:rsid w:val="00BF2F79"/>
    <w:rsid w:val="00BF58AA"/>
    <w:rsid w:val="00C455FD"/>
    <w:rsid w:val="00C71AE0"/>
    <w:rsid w:val="00C80450"/>
    <w:rsid w:val="00C94930"/>
    <w:rsid w:val="00CA3F9D"/>
    <w:rsid w:val="00CE44EF"/>
    <w:rsid w:val="00D02F22"/>
    <w:rsid w:val="00D05AE7"/>
    <w:rsid w:val="00D137BF"/>
    <w:rsid w:val="00D17F34"/>
    <w:rsid w:val="00D3084C"/>
    <w:rsid w:val="00D815C0"/>
    <w:rsid w:val="00DA5908"/>
    <w:rsid w:val="00DB4179"/>
    <w:rsid w:val="00DC71B7"/>
    <w:rsid w:val="00DD1FC5"/>
    <w:rsid w:val="00DD6718"/>
    <w:rsid w:val="00DF39F3"/>
    <w:rsid w:val="00DF5F04"/>
    <w:rsid w:val="00E013CB"/>
    <w:rsid w:val="00E03481"/>
    <w:rsid w:val="00E0726C"/>
    <w:rsid w:val="00E10591"/>
    <w:rsid w:val="00E15124"/>
    <w:rsid w:val="00E45BAB"/>
    <w:rsid w:val="00E5101C"/>
    <w:rsid w:val="00E544F8"/>
    <w:rsid w:val="00E56F96"/>
    <w:rsid w:val="00E6069C"/>
    <w:rsid w:val="00E62AB9"/>
    <w:rsid w:val="00E761CA"/>
    <w:rsid w:val="00E77F99"/>
    <w:rsid w:val="00E84B10"/>
    <w:rsid w:val="00E92649"/>
    <w:rsid w:val="00EC6F89"/>
    <w:rsid w:val="00ED39E1"/>
    <w:rsid w:val="00ED4FCF"/>
    <w:rsid w:val="00EE037C"/>
    <w:rsid w:val="00EF1F3A"/>
    <w:rsid w:val="00F01C69"/>
    <w:rsid w:val="00F0646E"/>
    <w:rsid w:val="00F37E16"/>
    <w:rsid w:val="00F37E44"/>
    <w:rsid w:val="00F44B47"/>
    <w:rsid w:val="00F63EAD"/>
    <w:rsid w:val="00F67FC2"/>
    <w:rsid w:val="00F76A8D"/>
    <w:rsid w:val="00FA6987"/>
    <w:rsid w:val="00FB07CD"/>
    <w:rsid w:val="00FB34F8"/>
    <w:rsid w:val="00FD17E1"/>
    <w:rsid w:val="00FE78BB"/>
    <w:rsid w:val="01514167"/>
    <w:rsid w:val="01532626"/>
    <w:rsid w:val="01AA7D1B"/>
    <w:rsid w:val="01C963F3"/>
    <w:rsid w:val="01F64AED"/>
    <w:rsid w:val="02BB4831"/>
    <w:rsid w:val="03692268"/>
    <w:rsid w:val="04FD0A58"/>
    <w:rsid w:val="053713A0"/>
    <w:rsid w:val="059E2E38"/>
    <w:rsid w:val="06FD6193"/>
    <w:rsid w:val="09246605"/>
    <w:rsid w:val="09C80928"/>
    <w:rsid w:val="0ADC4CA9"/>
    <w:rsid w:val="0BD8429B"/>
    <w:rsid w:val="0C3D77D6"/>
    <w:rsid w:val="0DB32369"/>
    <w:rsid w:val="0F6E73B5"/>
    <w:rsid w:val="0FBF081B"/>
    <w:rsid w:val="10147EED"/>
    <w:rsid w:val="10E25A61"/>
    <w:rsid w:val="10E66744"/>
    <w:rsid w:val="116E204C"/>
    <w:rsid w:val="12176D07"/>
    <w:rsid w:val="12706417"/>
    <w:rsid w:val="127703E5"/>
    <w:rsid w:val="12B77119"/>
    <w:rsid w:val="137D4F31"/>
    <w:rsid w:val="138E6976"/>
    <w:rsid w:val="13E175CD"/>
    <w:rsid w:val="154E6CD0"/>
    <w:rsid w:val="15A52B96"/>
    <w:rsid w:val="16816E45"/>
    <w:rsid w:val="17650515"/>
    <w:rsid w:val="17B64BF1"/>
    <w:rsid w:val="180F53B3"/>
    <w:rsid w:val="18CD6371"/>
    <w:rsid w:val="19AA220F"/>
    <w:rsid w:val="1CFE2A48"/>
    <w:rsid w:val="1F3C5FFF"/>
    <w:rsid w:val="1F477E71"/>
    <w:rsid w:val="202C11CF"/>
    <w:rsid w:val="216A6F0F"/>
    <w:rsid w:val="21BE36DE"/>
    <w:rsid w:val="22113463"/>
    <w:rsid w:val="241F7440"/>
    <w:rsid w:val="246C08D4"/>
    <w:rsid w:val="28A541CD"/>
    <w:rsid w:val="29585061"/>
    <w:rsid w:val="29691DAB"/>
    <w:rsid w:val="29912140"/>
    <w:rsid w:val="2A7D2C06"/>
    <w:rsid w:val="2CDC3F37"/>
    <w:rsid w:val="2D642E1E"/>
    <w:rsid w:val="2E533C7E"/>
    <w:rsid w:val="2F982E42"/>
    <w:rsid w:val="309331F0"/>
    <w:rsid w:val="309B6FCA"/>
    <w:rsid w:val="30CF11EC"/>
    <w:rsid w:val="312E4D7E"/>
    <w:rsid w:val="34B34D99"/>
    <w:rsid w:val="35B81BCE"/>
    <w:rsid w:val="35D76B12"/>
    <w:rsid w:val="35E772AE"/>
    <w:rsid w:val="37B26A07"/>
    <w:rsid w:val="37C76FDB"/>
    <w:rsid w:val="38402349"/>
    <w:rsid w:val="39595347"/>
    <w:rsid w:val="3AB60143"/>
    <w:rsid w:val="3C0C4A2C"/>
    <w:rsid w:val="3DFF227A"/>
    <w:rsid w:val="3E044423"/>
    <w:rsid w:val="3E057569"/>
    <w:rsid w:val="3F5D36FC"/>
    <w:rsid w:val="3F6E5909"/>
    <w:rsid w:val="3FB26326"/>
    <w:rsid w:val="40FC4F4E"/>
    <w:rsid w:val="410003C5"/>
    <w:rsid w:val="41214BFD"/>
    <w:rsid w:val="418C3E35"/>
    <w:rsid w:val="42260C25"/>
    <w:rsid w:val="4272038F"/>
    <w:rsid w:val="43913769"/>
    <w:rsid w:val="453F01E4"/>
    <w:rsid w:val="466903B0"/>
    <w:rsid w:val="49BC09B8"/>
    <w:rsid w:val="49CE3B4E"/>
    <w:rsid w:val="4A12433B"/>
    <w:rsid w:val="4B4B7123"/>
    <w:rsid w:val="4DFA5197"/>
    <w:rsid w:val="4E337CC2"/>
    <w:rsid w:val="4F2711BC"/>
    <w:rsid w:val="4FA5434D"/>
    <w:rsid w:val="5178776B"/>
    <w:rsid w:val="52852BC8"/>
    <w:rsid w:val="54475D44"/>
    <w:rsid w:val="57346FE0"/>
    <w:rsid w:val="57F21563"/>
    <w:rsid w:val="58AC2BA6"/>
    <w:rsid w:val="5A713635"/>
    <w:rsid w:val="5AB32AA6"/>
    <w:rsid w:val="5C114178"/>
    <w:rsid w:val="5D6D410D"/>
    <w:rsid w:val="5E3E3179"/>
    <w:rsid w:val="5E962906"/>
    <w:rsid w:val="5EA554B0"/>
    <w:rsid w:val="5FE225AC"/>
    <w:rsid w:val="609A3D32"/>
    <w:rsid w:val="631B70FF"/>
    <w:rsid w:val="63AC1E04"/>
    <w:rsid w:val="64745D8E"/>
    <w:rsid w:val="6475473A"/>
    <w:rsid w:val="661E407A"/>
    <w:rsid w:val="66FB5425"/>
    <w:rsid w:val="680F07C6"/>
    <w:rsid w:val="6A1A25CD"/>
    <w:rsid w:val="6C1262AB"/>
    <w:rsid w:val="6C5C6888"/>
    <w:rsid w:val="70880B12"/>
    <w:rsid w:val="70BB26B8"/>
    <w:rsid w:val="70D15F2F"/>
    <w:rsid w:val="727F49D4"/>
    <w:rsid w:val="72BC7F1C"/>
    <w:rsid w:val="75146048"/>
    <w:rsid w:val="755D1591"/>
    <w:rsid w:val="761107C1"/>
    <w:rsid w:val="78E70EF5"/>
    <w:rsid w:val="7989104E"/>
    <w:rsid w:val="79AB0776"/>
    <w:rsid w:val="7BA305F1"/>
    <w:rsid w:val="7C547659"/>
    <w:rsid w:val="7EC340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5"/>
    <w:semiHidden/>
    <w:unhideWhenUsed/>
    <w:qFormat/>
    <w:uiPriority w:val="99"/>
    <w:pPr>
      <w:jc w:val="left"/>
    </w:pPr>
  </w:style>
  <w:style w:type="paragraph" w:styleId="3">
    <w:name w:val="Body Text"/>
    <w:basedOn w:val="1"/>
    <w:link w:val="13"/>
    <w:qFormat/>
    <w:uiPriority w:val="0"/>
    <w:pPr>
      <w:spacing w:line="360" w:lineRule="auto"/>
    </w:pPr>
    <w:rPr>
      <w:sz w:val="24"/>
      <w:szCs w:val="20"/>
    </w:rPr>
  </w:style>
  <w:style w:type="paragraph" w:styleId="4">
    <w:name w:val="Balloon Text"/>
    <w:basedOn w:val="1"/>
    <w:link w:val="14"/>
    <w:semiHidden/>
    <w:unhideWhenUsed/>
    <w:qFormat/>
    <w:uiPriority w:val="99"/>
    <w:rPr>
      <w:sz w:val="18"/>
      <w:szCs w:val="18"/>
    </w:rPr>
  </w:style>
  <w:style w:type="paragraph" w:styleId="5">
    <w:name w:val="footer"/>
    <w:basedOn w:val="1"/>
    <w:link w:val="19"/>
    <w:unhideWhenUsed/>
    <w:qFormat/>
    <w:uiPriority w:val="99"/>
    <w:pPr>
      <w:tabs>
        <w:tab w:val="center" w:pos="4153"/>
        <w:tab w:val="right" w:pos="8306"/>
      </w:tabs>
      <w:snapToGrid w:val="0"/>
      <w:jc w:val="left"/>
    </w:pPr>
    <w:rPr>
      <w:sz w:val="18"/>
      <w:szCs w:val="18"/>
    </w:rPr>
  </w:style>
  <w:style w:type="paragraph" w:styleId="6">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annotation subject"/>
    <w:basedOn w:val="2"/>
    <w:next w:val="2"/>
    <w:link w:val="16"/>
    <w:semiHidden/>
    <w:unhideWhenUsed/>
    <w:qFormat/>
    <w:uiPriority w:val="99"/>
    <w:rPr>
      <w:b/>
      <w:bCs/>
    </w:rPr>
  </w:style>
  <w:style w:type="table" w:styleId="9">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basedOn w:val="10"/>
    <w:unhideWhenUsed/>
    <w:qFormat/>
    <w:uiPriority w:val="99"/>
    <w:rPr>
      <w:color w:val="0563C1" w:themeColor="hyperlink"/>
      <w:u w:val="single"/>
      <w14:textFill>
        <w14:solidFill>
          <w14:schemeClr w14:val="hlink"/>
        </w14:solidFill>
      </w14:textFill>
    </w:rPr>
  </w:style>
  <w:style w:type="character" w:styleId="12">
    <w:name w:val="annotation reference"/>
    <w:basedOn w:val="10"/>
    <w:semiHidden/>
    <w:unhideWhenUsed/>
    <w:qFormat/>
    <w:uiPriority w:val="99"/>
    <w:rPr>
      <w:sz w:val="21"/>
      <w:szCs w:val="21"/>
    </w:rPr>
  </w:style>
  <w:style w:type="character" w:customStyle="1" w:styleId="13">
    <w:name w:val="正文文本 字符"/>
    <w:basedOn w:val="10"/>
    <w:link w:val="3"/>
    <w:qFormat/>
    <w:uiPriority w:val="0"/>
    <w:rPr>
      <w:rFonts w:ascii="Times New Roman" w:hAnsi="Times New Roman" w:eastAsia="宋体" w:cs="Times New Roman"/>
      <w:sz w:val="24"/>
      <w:szCs w:val="20"/>
    </w:rPr>
  </w:style>
  <w:style w:type="character" w:customStyle="1" w:styleId="14">
    <w:name w:val="批注框文本 字符"/>
    <w:basedOn w:val="10"/>
    <w:link w:val="4"/>
    <w:semiHidden/>
    <w:qFormat/>
    <w:uiPriority w:val="99"/>
    <w:rPr>
      <w:rFonts w:ascii="Times New Roman" w:hAnsi="Times New Roman" w:eastAsia="宋体" w:cs="Times New Roman"/>
      <w:sz w:val="18"/>
      <w:szCs w:val="18"/>
    </w:rPr>
  </w:style>
  <w:style w:type="character" w:customStyle="1" w:styleId="15">
    <w:name w:val="批注文字 字符"/>
    <w:basedOn w:val="10"/>
    <w:link w:val="2"/>
    <w:semiHidden/>
    <w:qFormat/>
    <w:uiPriority w:val="99"/>
    <w:rPr>
      <w:rFonts w:ascii="Times New Roman" w:hAnsi="Times New Roman" w:eastAsia="宋体" w:cs="Times New Roman"/>
      <w:szCs w:val="24"/>
    </w:rPr>
  </w:style>
  <w:style w:type="character" w:customStyle="1" w:styleId="16">
    <w:name w:val="批注主题 字符"/>
    <w:basedOn w:val="15"/>
    <w:link w:val="7"/>
    <w:semiHidden/>
    <w:qFormat/>
    <w:uiPriority w:val="99"/>
    <w:rPr>
      <w:rFonts w:ascii="Times New Roman" w:hAnsi="Times New Roman" w:eastAsia="宋体" w:cs="Times New Roman"/>
      <w:b/>
      <w:bCs/>
      <w:szCs w:val="24"/>
    </w:rPr>
  </w:style>
  <w:style w:type="character" w:customStyle="1" w:styleId="17">
    <w:name w:val="未处理的提及1"/>
    <w:basedOn w:val="10"/>
    <w:semiHidden/>
    <w:unhideWhenUsed/>
    <w:qFormat/>
    <w:uiPriority w:val="99"/>
    <w:rPr>
      <w:color w:val="808080"/>
      <w:shd w:val="clear" w:color="auto" w:fill="E6E6E6"/>
    </w:rPr>
  </w:style>
  <w:style w:type="character" w:customStyle="1" w:styleId="18">
    <w:name w:val="页眉 字符"/>
    <w:basedOn w:val="10"/>
    <w:link w:val="6"/>
    <w:qFormat/>
    <w:uiPriority w:val="99"/>
    <w:rPr>
      <w:rFonts w:ascii="Times New Roman" w:hAnsi="Times New Roman" w:eastAsia="宋体" w:cs="Times New Roman"/>
      <w:kern w:val="2"/>
      <w:sz w:val="18"/>
      <w:szCs w:val="18"/>
    </w:rPr>
  </w:style>
  <w:style w:type="character" w:customStyle="1" w:styleId="19">
    <w:name w:val="页脚 字符"/>
    <w:basedOn w:val="10"/>
    <w:link w:val="5"/>
    <w:qFormat/>
    <w:uiPriority w:val="99"/>
    <w:rPr>
      <w:rFonts w:ascii="Times New Roman" w:hAnsi="Times New Roman" w:eastAsia="宋体" w:cs="Times New Roman"/>
      <w:kern w:val="2"/>
      <w:sz w:val="18"/>
      <w:szCs w:val="18"/>
    </w:rPr>
  </w:style>
  <w:style w:type="character" w:customStyle="1" w:styleId="20">
    <w:name w:val="font41"/>
    <w:basedOn w:val="10"/>
    <w:qFormat/>
    <w:uiPriority w:val="0"/>
    <w:rPr>
      <w:rFonts w:hint="eastAsia" w:ascii="宋体" w:hAnsi="宋体" w:eastAsia="宋体" w:cs="宋体"/>
      <w:color w:val="000000"/>
      <w:sz w:val="20"/>
      <w:szCs w:val="20"/>
      <w:u w:val="none"/>
    </w:rPr>
  </w:style>
  <w:style w:type="character" w:customStyle="1" w:styleId="21">
    <w:name w:val="font11"/>
    <w:basedOn w:val="10"/>
    <w:qFormat/>
    <w:uiPriority w:val="0"/>
    <w:rPr>
      <w:rFonts w:hint="default" w:ascii="Times New Roman" w:hAnsi="Times New Roman" w:cs="Times New Roman"/>
      <w:color w:val="000000"/>
      <w:sz w:val="20"/>
      <w:szCs w:val="2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B5C75D-38F9-42DC-A969-9CB1D9936DBF}">
  <ds:schemaRefs/>
</ds:datastoreItem>
</file>

<file path=docProps/app.xml><?xml version="1.0" encoding="utf-8"?>
<Properties xmlns="http://schemas.openxmlformats.org/officeDocument/2006/extended-properties" xmlns:vt="http://schemas.openxmlformats.org/officeDocument/2006/docPropsVTypes">
  <Template>Normal.dotm</Template>
  <Company>user</Company>
  <Pages>4</Pages>
  <Words>299</Words>
  <Characters>311</Characters>
  <Lines>31</Lines>
  <Paragraphs>8</Paragraphs>
  <TotalTime>0</TotalTime>
  <ScaleCrop>false</ScaleCrop>
  <LinksUpToDate>false</LinksUpToDate>
  <CharactersWithSpaces>315</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2017-09-12T03:36:00Z</dcterms:created>
  <dc:creator>Administrator</dc:creator>
  <cp:lastModifiedBy>申思</cp:lastModifiedBy>
  <cp:lastPrinted>2025-10-12T02:02:00Z</cp:lastPrinted>
  <dcterms:modified xsi:type="dcterms:W3CDTF">2025-10-19T14:29:21Z</dcterms:modified>
  <cp:revision>167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32CAECCB42E84DF2BFC30C0E697F305A_13</vt:lpwstr>
  </property>
  <property fmtid="{D5CDD505-2E9C-101B-9397-08002B2CF9AE}" pid="4" name="KSOTemplateDocerSaveRecord">
    <vt:lpwstr>eyJoZGlkIjoiZmE5MGRmNmYwNTgwMzdjYzUzY2ExNzNjOTg0ODM0NTgiLCJ1c2VySWQiOiIxMDE2MTY2MTg0In0=</vt:lpwstr>
  </property>
</Properties>
</file>