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0C8A" w14:textId="5FA686FF" w:rsidR="00C569E1" w:rsidRDefault="00A41FB5">
      <w:pPr>
        <w:spacing w:line="300" w:lineRule="auto"/>
        <w:jc w:val="center"/>
        <w:rPr>
          <w:rFonts w:eastAsia="黑体"/>
          <w:color w:val="000000" w:themeColor="text1"/>
          <w:sz w:val="30"/>
          <w:szCs w:val="30"/>
        </w:rPr>
      </w:pPr>
      <w:r>
        <w:rPr>
          <w:rFonts w:eastAsia="黑体"/>
          <w:color w:val="000000" w:themeColor="text1"/>
          <w:sz w:val="30"/>
          <w:szCs w:val="30"/>
        </w:rPr>
        <w:t>202</w:t>
      </w:r>
      <w:r w:rsidR="00B85CED">
        <w:rPr>
          <w:rFonts w:eastAsia="黑体"/>
          <w:color w:val="000000" w:themeColor="text1"/>
          <w:sz w:val="30"/>
          <w:szCs w:val="30"/>
        </w:rPr>
        <w:t>5</w:t>
      </w:r>
      <w:r>
        <w:rPr>
          <w:rFonts w:eastAsia="黑体"/>
          <w:color w:val="000000" w:themeColor="text1"/>
          <w:sz w:val="30"/>
          <w:szCs w:val="30"/>
        </w:rPr>
        <w:t>年首都经济贸易大学</w:t>
      </w:r>
    </w:p>
    <w:p w14:paraId="6E811366" w14:textId="49454234" w:rsidR="00C569E1" w:rsidRDefault="00A41FB5">
      <w:pPr>
        <w:spacing w:line="300" w:lineRule="auto"/>
        <w:jc w:val="center"/>
        <w:rPr>
          <w:rFonts w:eastAsia="黑体"/>
          <w:color w:val="000000" w:themeColor="text1"/>
          <w:sz w:val="30"/>
          <w:szCs w:val="30"/>
        </w:rPr>
      </w:pPr>
      <w:r>
        <w:rPr>
          <w:rFonts w:eastAsia="黑体"/>
          <w:color w:val="000000" w:themeColor="text1"/>
          <w:sz w:val="30"/>
          <w:szCs w:val="30"/>
        </w:rPr>
        <w:t>硕士研究生入学考试初试《经济学》（</w:t>
      </w:r>
      <w:r w:rsidR="006823EC">
        <w:rPr>
          <w:rFonts w:eastAsia="黑体"/>
          <w:color w:val="000000" w:themeColor="text1"/>
          <w:sz w:val="30"/>
          <w:szCs w:val="30"/>
        </w:rPr>
        <w:t>8</w:t>
      </w:r>
      <w:r>
        <w:rPr>
          <w:rFonts w:eastAsia="黑体"/>
          <w:color w:val="000000" w:themeColor="text1"/>
          <w:sz w:val="30"/>
          <w:szCs w:val="30"/>
        </w:rPr>
        <w:t>01</w:t>
      </w:r>
      <w:r>
        <w:rPr>
          <w:rFonts w:eastAsia="黑体"/>
          <w:color w:val="000000" w:themeColor="text1"/>
          <w:sz w:val="30"/>
          <w:szCs w:val="30"/>
        </w:rPr>
        <w:t>）考试大纲</w:t>
      </w:r>
    </w:p>
    <w:p w14:paraId="68D22743" w14:textId="77777777" w:rsidR="00C569E1" w:rsidRDefault="00C569E1">
      <w:pPr>
        <w:spacing w:line="300" w:lineRule="auto"/>
        <w:rPr>
          <w:color w:val="000000" w:themeColor="text1"/>
        </w:rPr>
      </w:pPr>
    </w:p>
    <w:p w14:paraId="6139353E" w14:textId="77777777" w:rsidR="00C569E1" w:rsidRDefault="00A41FB5">
      <w:pPr>
        <w:pStyle w:val="ab"/>
        <w:rPr>
          <w:rFonts w:ascii="宋体" w:eastAsia="宋体" w:hAnsi="宋体"/>
          <w:color w:val="000000" w:themeColor="text1"/>
          <w:sz w:val="28"/>
          <w:szCs w:val="28"/>
        </w:rPr>
      </w:pPr>
      <w:r>
        <w:rPr>
          <w:rFonts w:ascii="宋体" w:eastAsia="宋体" w:hAnsi="宋体" w:hint="eastAsia"/>
          <w:color w:val="000000" w:themeColor="text1"/>
          <w:sz w:val="28"/>
          <w:szCs w:val="28"/>
        </w:rPr>
        <w:t>第一部分 考试说明</w:t>
      </w:r>
    </w:p>
    <w:p w14:paraId="6ABC67AF"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一、考试目的</w:t>
      </w:r>
    </w:p>
    <w:p w14:paraId="58E28E72"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经济学综合考试是首都经济贸易大学招收经济类专业（含部分管理类专业）硕士研究生而设置的全国统一入学考试科目，编写《考试大纲》的目的是科学、公平地测试学生掌握大学本科阶段经济学的基本理论、基本知识、研究方法以及运用经济学的理论和方法分析、解决实际经济问题的能力，以保证被录取的学生具有基本的现代经济学理论素质，为研究生阶段的学习奠定坚实的经济学基础。</w:t>
      </w:r>
    </w:p>
    <w:p w14:paraId="067F9E82"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二、考试范围</w:t>
      </w:r>
    </w:p>
    <w:p w14:paraId="68F094B3"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经济学综合考试涉及的科目包括政治经济学和西方经济学两大部分。其中，政治经济学考试涵盖资本主义部分和中国特色社会主义市场经济两部分内容；西方经济学考试涵盖微观经济学和宏观经济学两部分内容。</w:t>
      </w:r>
    </w:p>
    <w:p w14:paraId="70858F0F"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三、考试基本要求</w:t>
      </w:r>
    </w:p>
    <w:p w14:paraId="4ECE323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、准确掌握政治经济学和西方经济学的基本概念和专业术语。</w:t>
      </w:r>
    </w:p>
    <w:p w14:paraId="5768C33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、准确理解并掌握政治经济学和西方经济学的基本原理。</w:t>
      </w:r>
    </w:p>
    <w:p w14:paraId="6915018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、对经济学的基本原理进行正确的表述、解释和论证。</w:t>
      </w:r>
    </w:p>
    <w:p w14:paraId="65E83989"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4</w:t>
      </w:r>
      <w:r>
        <w:rPr>
          <w:rFonts w:hint="eastAsia"/>
          <w:color w:val="000000" w:themeColor="text1"/>
          <w:sz w:val="24"/>
          <w:szCs w:val="24"/>
        </w:rPr>
        <w:t>、正确运用经济学的基本原理和方法，解释、分析经济现象和实际经济问题。</w:t>
      </w:r>
    </w:p>
    <w:p w14:paraId="18F41E07"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四、考试形式与试卷结构</w:t>
      </w:r>
    </w:p>
    <w:p w14:paraId="6830C38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、答卷方式：闭卷，笔试</w:t>
      </w:r>
    </w:p>
    <w:p w14:paraId="31CA6C8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、答题时间：</w:t>
      </w:r>
      <w:r>
        <w:rPr>
          <w:rFonts w:hint="eastAsia"/>
          <w:color w:val="000000" w:themeColor="text1"/>
          <w:sz w:val="24"/>
          <w:szCs w:val="24"/>
        </w:rPr>
        <w:t>180</w:t>
      </w:r>
      <w:r>
        <w:rPr>
          <w:rFonts w:hint="eastAsia"/>
          <w:color w:val="000000" w:themeColor="text1"/>
          <w:sz w:val="24"/>
          <w:szCs w:val="24"/>
        </w:rPr>
        <w:t>分钟</w:t>
      </w:r>
    </w:p>
    <w:p w14:paraId="3DB290B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、各部分内容考查比例：政治经济学、西方经济学各占</w:t>
      </w:r>
      <w:r>
        <w:rPr>
          <w:rFonts w:hint="eastAsia"/>
          <w:color w:val="000000" w:themeColor="text1"/>
          <w:sz w:val="24"/>
          <w:szCs w:val="24"/>
        </w:rPr>
        <w:t>50%</w:t>
      </w:r>
    </w:p>
    <w:p w14:paraId="0666D197" w14:textId="77777777" w:rsidR="00C569E1" w:rsidRDefault="00A41FB5">
      <w:pPr>
        <w:spacing w:line="300" w:lineRule="auto"/>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、题型及分值：</w:t>
      </w:r>
    </w:p>
    <w:p w14:paraId="3183532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简答与计算题：</w:t>
      </w:r>
      <w:r>
        <w:rPr>
          <w:rFonts w:hint="eastAsia"/>
          <w:color w:val="000000" w:themeColor="text1"/>
          <w:sz w:val="24"/>
          <w:szCs w:val="24"/>
        </w:rPr>
        <w:t>90</w:t>
      </w:r>
      <w:r>
        <w:rPr>
          <w:rFonts w:hint="eastAsia"/>
          <w:color w:val="000000" w:themeColor="text1"/>
          <w:sz w:val="24"/>
          <w:szCs w:val="24"/>
        </w:rPr>
        <w:t>分（</w:t>
      </w:r>
      <w:r>
        <w:rPr>
          <w:rFonts w:hint="eastAsia"/>
          <w:color w:val="000000" w:themeColor="text1"/>
          <w:sz w:val="24"/>
          <w:szCs w:val="24"/>
        </w:rPr>
        <w:t>6</w:t>
      </w:r>
      <w:r>
        <w:rPr>
          <w:rFonts w:hint="eastAsia"/>
          <w:color w:val="000000" w:themeColor="text1"/>
          <w:sz w:val="24"/>
          <w:szCs w:val="24"/>
        </w:rPr>
        <w:t>小题，每小题</w:t>
      </w:r>
      <w:r>
        <w:rPr>
          <w:rFonts w:hint="eastAsia"/>
          <w:color w:val="000000" w:themeColor="text1"/>
          <w:sz w:val="24"/>
          <w:szCs w:val="24"/>
        </w:rPr>
        <w:t>15</w:t>
      </w:r>
      <w:r>
        <w:rPr>
          <w:rFonts w:hint="eastAsia"/>
          <w:color w:val="000000" w:themeColor="text1"/>
          <w:sz w:val="24"/>
          <w:szCs w:val="24"/>
        </w:rPr>
        <w:t>分）</w:t>
      </w:r>
    </w:p>
    <w:p w14:paraId="161A4CC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论述题：</w:t>
      </w:r>
      <w:r>
        <w:rPr>
          <w:rFonts w:hint="eastAsia"/>
          <w:color w:val="000000" w:themeColor="text1"/>
          <w:sz w:val="24"/>
          <w:szCs w:val="24"/>
        </w:rPr>
        <w:t>60</w:t>
      </w:r>
      <w:r>
        <w:rPr>
          <w:rFonts w:hint="eastAsia"/>
          <w:color w:val="000000" w:themeColor="text1"/>
          <w:sz w:val="24"/>
          <w:szCs w:val="24"/>
        </w:rPr>
        <w:t>分（</w:t>
      </w:r>
      <w:r>
        <w:rPr>
          <w:rFonts w:hint="eastAsia"/>
          <w:color w:val="000000" w:themeColor="text1"/>
          <w:sz w:val="24"/>
          <w:szCs w:val="24"/>
        </w:rPr>
        <w:t>2</w:t>
      </w:r>
      <w:r>
        <w:rPr>
          <w:rFonts w:hint="eastAsia"/>
          <w:color w:val="000000" w:themeColor="text1"/>
          <w:sz w:val="24"/>
          <w:szCs w:val="24"/>
        </w:rPr>
        <w:t>小题，每小题</w:t>
      </w:r>
      <w:r>
        <w:rPr>
          <w:rFonts w:hint="eastAsia"/>
          <w:color w:val="000000" w:themeColor="text1"/>
          <w:sz w:val="24"/>
          <w:szCs w:val="24"/>
        </w:rPr>
        <w:t>30</w:t>
      </w:r>
      <w:r>
        <w:rPr>
          <w:rFonts w:hint="eastAsia"/>
          <w:color w:val="000000" w:themeColor="text1"/>
          <w:sz w:val="24"/>
          <w:szCs w:val="24"/>
        </w:rPr>
        <w:t>分）</w:t>
      </w:r>
    </w:p>
    <w:p w14:paraId="0A000B98"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五、参考书目</w:t>
      </w:r>
    </w:p>
    <w:p w14:paraId="3EC97A85" w14:textId="089C2ECC" w:rsidR="00C569E1" w:rsidRDefault="00A41FB5">
      <w:pPr>
        <w:pStyle w:val="a9"/>
        <w:jc w:val="left"/>
        <w:rPr>
          <w:rFonts w:ascii="Times New Roman" w:eastAsia="宋体" w:hAnsi="Times New Roman" w:cs="Times New Roman"/>
          <w:b w:val="0"/>
          <w:bCs w:val="0"/>
          <w:color w:val="000000" w:themeColor="text1"/>
          <w:kern w:val="2"/>
          <w:sz w:val="24"/>
          <w:szCs w:val="24"/>
        </w:rPr>
      </w:pPr>
      <w:r>
        <w:rPr>
          <w:rFonts w:ascii="Times New Roman" w:eastAsia="宋体" w:hAnsi="Times New Roman" w:cs="Times New Roman" w:hint="eastAsia"/>
          <w:b w:val="0"/>
          <w:bCs w:val="0"/>
          <w:color w:val="000000" w:themeColor="text1"/>
          <w:kern w:val="2"/>
          <w:sz w:val="24"/>
          <w:szCs w:val="24"/>
        </w:rPr>
        <w:lastRenderedPageBreak/>
        <w:t>1</w:t>
      </w:r>
      <w:r>
        <w:rPr>
          <w:rFonts w:ascii="Times New Roman" w:eastAsia="宋体" w:hAnsi="Times New Roman" w:cs="Times New Roman" w:hint="eastAsia"/>
          <w:b w:val="0"/>
          <w:bCs w:val="0"/>
          <w:color w:val="000000" w:themeColor="text1"/>
          <w:kern w:val="2"/>
          <w:sz w:val="24"/>
          <w:szCs w:val="24"/>
        </w:rPr>
        <w:t>、《马克思主义政治经济学概论》（第二版）</w:t>
      </w:r>
      <w:r w:rsidR="00F65C29">
        <w:rPr>
          <w:rFonts w:ascii="Times New Roman" w:eastAsia="宋体" w:hAnsi="Times New Roman" w:cs="Times New Roman" w:hint="eastAsia"/>
          <w:b w:val="0"/>
          <w:bCs w:val="0"/>
          <w:color w:val="000000" w:themeColor="text1"/>
          <w:kern w:val="2"/>
          <w:sz w:val="24"/>
          <w:szCs w:val="24"/>
        </w:rPr>
        <w:t>，</w:t>
      </w:r>
      <w:r>
        <w:rPr>
          <w:rFonts w:ascii="Times New Roman" w:eastAsia="宋体" w:hAnsi="Times New Roman" w:cs="Times New Roman" w:hint="eastAsia"/>
          <w:b w:val="0"/>
          <w:bCs w:val="0"/>
          <w:color w:val="000000" w:themeColor="text1"/>
          <w:kern w:val="2"/>
          <w:sz w:val="24"/>
          <w:szCs w:val="24"/>
        </w:rPr>
        <w:t>《马克思主义政治经济学概论》编写组，人民出版社、高等教育出版社，</w:t>
      </w:r>
      <w:r>
        <w:rPr>
          <w:rFonts w:ascii="Times New Roman" w:eastAsia="宋体" w:hAnsi="Times New Roman" w:cs="Times New Roman" w:hint="eastAsia"/>
          <w:b w:val="0"/>
          <w:bCs w:val="0"/>
          <w:color w:val="000000" w:themeColor="text1"/>
          <w:kern w:val="2"/>
          <w:sz w:val="24"/>
          <w:szCs w:val="24"/>
        </w:rPr>
        <w:t>20</w:t>
      </w:r>
      <w:r>
        <w:rPr>
          <w:rFonts w:ascii="Times New Roman" w:eastAsia="宋体" w:hAnsi="Times New Roman" w:cs="Times New Roman"/>
          <w:b w:val="0"/>
          <w:bCs w:val="0"/>
          <w:color w:val="000000" w:themeColor="text1"/>
          <w:kern w:val="2"/>
          <w:sz w:val="24"/>
          <w:szCs w:val="24"/>
        </w:rPr>
        <w:t>2</w:t>
      </w:r>
      <w:r>
        <w:rPr>
          <w:rFonts w:ascii="Times New Roman" w:eastAsia="宋体" w:hAnsi="Times New Roman" w:cs="Times New Roman" w:hint="eastAsia"/>
          <w:b w:val="0"/>
          <w:bCs w:val="0"/>
          <w:color w:val="000000" w:themeColor="text1"/>
          <w:kern w:val="2"/>
          <w:sz w:val="24"/>
          <w:szCs w:val="24"/>
        </w:rPr>
        <w:t>1</w:t>
      </w:r>
      <w:r>
        <w:rPr>
          <w:rFonts w:ascii="Times New Roman" w:eastAsia="宋体" w:hAnsi="Times New Roman" w:cs="Times New Roman" w:hint="eastAsia"/>
          <w:b w:val="0"/>
          <w:bCs w:val="0"/>
          <w:color w:val="000000" w:themeColor="text1"/>
          <w:kern w:val="2"/>
          <w:sz w:val="24"/>
          <w:szCs w:val="24"/>
        </w:rPr>
        <w:t>年。</w:t>
      </w:r>
    </w:p>
    <w:p w14:paraId="526E11EA" w14:textId="77777777" w:rsidR="00C569E1" w:rsidRDefault="00A41FB5">
      <w:pPr>
        <w:spacing w:line="300" w:lineRule="auto"/>
        <w:rPr>
          <w:color w:val="000000" w:themeColor="text1"/>
          <w:sz w:val="24"/>
          <w:szCs w:val="24"/>
        </w:rPr>
      </w:pPr>
      <w:r>
        <w:rPr>
          <w:rFonts w:hint="eastAsia"/>
          <w:color w:val="000000" w:themeColor="text1"/>
          <w:sz w:val="24"/>
          <w:szCs w:val="24"/>
        </w:rPr>
        <w:t>2</w:t>
      </w:r>
      <w:r>
        <w:rPr>
          <w:rFonts w:hint="eastAsia"/>
          <w:color w:val="000000" w:themeColor="text1"/>
          <w:sz w:val="24"/>
          <w:szCs w:val="24"/>
        </w:rPr>
        <w:t>、《西方经济学》（第二版），《西方经济学》编写组，高等教育出版社、人民出版社，</w:t>
      </w:r>
      <w:r>
        <w:rPr>
          <w:rFonts w:hint="eastAsia"/>
          <w:color w:val="000000" w:themeColor="text1"/>
          <w:sz w:val="24"/>
          <w:szCs w:val="24"/>
        </w:rPr>
        <w:t>20</w:t>
      </w:r>
      <w:r>
        <w:rPr>
          <w:color w:val="000000" w:themeColor="text1"/>
          <w:sz w:val="24"/>
          <w:szCs w:val="24"/>
        </w:rPr>
        <w:t>21</w:t>
      </w:r>
      <w:r>
        <w:rPr>
          <w:rFonts w:hint="eastAsia"/>
          <w:color w:val="000000" w:themeColor="text1"/>
          <w:sz w:val="24"/>
          <w:szCs w:val="24"/>
        </w:rPr>
        <w:t>年。</w:t>
      </w:r>
    </w:p>
    <w:p w14:paraId="63B2106D"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六、需说明的问题</w:t>
      </w:r>
    </w:p>
    <w:p w14:paraId="412D1E4F"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考生除阅读参考书目外，还需要关注中国宏观经济形势、近两年国内外发生的重要经济事件，以及中国中央人民政府当年发布的文件中所涉及的重要经济问题，并结合经济学的相关理论进行复习。</w:t>
      </w:r>
    </w:p>
    <w:p w14:paraId="7AF08813" w14:textId="77777777" w:rsidR="00C569E1" w:rsidRDefault="00C569E1">
      <w:pPr>
        <w:spacing w:line="300" w:lineRule="auto"/>
        <w:rPr>
          <w:color w:val="000000" w:themeColor="text1"/>
          <w:sz w:val="24"/>
          <w:szCs w:val="24"/>
        </w:rPr>
      </w:pPr>
    </w:p>
    <w:p w14:paraId="78A136C3" w14:textId="77777777" w:rsidR="00C569E1" w:rsidRDefault="00A41FB5">
      <w:pPr>
        <w:pStyle w:val="ab"/>
        <w:rPr>
          <w:rFonts w:ascii="宋体" w:eastAsia="宋体" w:hAnsi="宋体"/>
          <w:color w:val="000000" w:themeColor="text1"/>
          <w:sz w:val="28"/>
          <w:szCs w:val="28"/>
        </w:rPr>
      </w:pPr>
      <w:r>
        <w:rPr>
          <w:rFonts w:ascii="宋体" w:eastAsia="宋体" w:hAnsi="宋体" w:hint="eastAsia"/>
          <w:color w:val="000000" w:themeColor="text1"/>
          <w:sz w:val="28"/>
          <w:szCs w:val="28"/>
        </w:rPr>
        <w:t>第二部分 考试内容</w:t>
      </w:r>
    </w:p>
    <w:p w14:paraId="5BBECC67"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一、政治经济学部分</w:t>
      </w:r>
    </w:p>
    <w:p w14:paraId="41B4651B" w14:textId="77777777" w:rsidR="00C569E1" w:rsidRDefault="00A41FB5">
      <w:pPr>
        <w:spacing w:line="300" w:lineRule="auto"/>
        <w:rPr>
          <w:b/>
          <w:bCs/>
          <w:color w:val="000000" w:themeColor="text1"/>
          <w:sz w:val="24"/>
          <w:szCs w:val="24"/>
        </w:rPr>
      </w:pPr>
      <w:r>
        <w:rPr>
          <w:rFonts w:hint="eastAsia"/>
          <w:b/>
          <w:bCs/>
          <w:color w:val="000000" w:themeColor="text1"/>
          <w:sz w:val="24"/>
          <w:szCs w:val="24"/>
        </w:rPr>
        <w:t>（一）商品和货币</w:t>
      </w:r>
    </w:p>
    <w:p w14:paraId="4097A6E8" w14:textId="77777777" w:rsidR="00C569E1" w:rsidRDefault="00A41FB5">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、商品</w:t>
      </w:r>
    </w:p>
    <w:p w14:paraId="14EAF3E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）商品及其内在矛盾</w:t>
      </w:r>
    </w:p>
    <w:p w14:paraId="149C257D"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）商品价值量</w:t>
      </w:r>
    </w:p>
    <w:p w14:paraId="4556D8D8"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）对劳动价值论认识的深化</w:t>
      </w:r>
    </w:p>
    <w:p w14:paraId="2FC9A54B" w14:textId="77777777" w:rsidR="00C569E1" w:rsidRDefault="00A41FB5">
      <w:pPr>
        <w:spacing w:line="30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、货币</w:t>
      </w:r>
    </w:p>
    <w:p w14:paraId="65D70B61" w14:textId="77777777" w:rsidR="00C569E1" w:rsidRDefault="00A41FB5">
      <w:pPr>
        <w:spacing w:line="300" w:lineRule="auto"/>
        <w:ind w:firstLineChars="300" w:firstLine="72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）货币的本质和职能</w:t>
      </w:r>
    </w:p>
    <w:p w14:paraId="05DC7FFA" w14:textId="77777777" w:rsidR="00C569E1" w:rsidRDefault="00A41FB5">
      <w:pPr>
        <w:spacing w:line="300" w:lineRule="auto"/>
        <w:ind w:firstLineChars="300" w:firstLine="72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）货币的形式</w:t>
      </w:r>
    </w:p>
    <w:p w14:paraId="77265755" w14:textId="77777777" w:rsidR="00C569E1" w:rsidRDefault="00A41FB5">
      <w:pPr>
        <w:spacing w:line="300" w:lineRule="auto"/>
        <w:ind w:firstLineChars="300" w:firstLine="72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）货币流通量及其规律</w:t>
      </w:r>
    </w:p>
    <w:p w14:paraId="14F15CF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、市场经济和价值规律</w:t>
      </w:r>
    </w:p>
    <w:p w14:paraId="0A87C6E6" w14:textId="77777777" w:rsidR="00C569E1" w:rsidRDefault="00A41FB5">
      <w:pPr>
        <w:spacing w:line="300" w:lineRule="auto"/>
        <w:ind w:firstLineChars="300" w:firstLine="72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）市场经济</w:t>
      </w:r>
    </w:p>
    <w:p w14:paraId="15E61942" w14:textId="77777777" w:rsidR="00C569E1" w:rsidRDefault="00A41FB5">
      <w:pPr>
        <w:spacing w:line="300" w:lineRule="auto"/>
        <w:ind w:firstLineChars="300" w:firstLine="72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）价值规律</w:t>
      </w:r>
    </w:p>
    <w:p w14:paraId="3763B931" w14:textId="77777777" w:rsidR="00C569E1" w:rsidRDefault="00A41FB5">
      <w:pPr>
        <w:spacing w:line="300" w:lineRule="auto"/>
        <w:ind w:firstLineChars="300" w:firstLine="72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）市场体系和市场秩序</w:t>
      </w:r>
    </w:p>
    <w:p w14:paraId="07C459D5" w14:textId="77777777" w:rsidR="00C569E1" w:rsidRDefault="00A41FB5">
      <w:pPr>
        <w:spacing w:line="300" w:lineRule="auto"/>
        <w:rPr>
          <w:b/>
          <w:bCs/>
          <w:color w:val="000000" w:themeColor="text1"/>
          <w:sz w:val="24"/>
          <w:szCs w:val="24"/>
        </w:rPr>
      </w:pPr>
      <w:r>
        <w:rPr>
          <w:rFonts w:hint="eastAsia"/>
          <w:b/>
          <w:bCs/>
          <w:color w:val="000000" w:themeColor="text1"/>
          <w:sz w:val="24"/>
          <w:szCs w:val="24"/>
        </w:rPr>
        <w:t>（二）资本主义经济</w:t>
      </w:r>
    </w:p>
    <w:p w14:paraId="12B6E95E" w14:textId="77777777" w:rsidR="00C569E1" w:rsidRDefault="00A41FB5">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、资本主义经济制度及其演变</w:t>
      </w:r>
    </w:p>
    <w:p w14:paraId="0E237C57"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）资本主义经济制度的形成</w:t>
      </w:r>
    </w:p>
    <w:p w14:paraId="0265CA22"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）资本主义所有制</w:t>
      </w:r>
    </w:p>
    <w:p w14:paraId="16083A7E"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）资本主义经济制度的演变</w:t>
      </w:r>
    </w:p>
    <w:p w14:paraId="54B8B9D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、资本主义生产</w:t>
      </w:r>
    </w:p>
    <w:p w14:paraId="4DBE0AD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）货币转化为资本</w:t>
      </w:r>
    </w:p>
    <w:p w14:paraId="0EB32B4F"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）剩余价值的生产</w:t>
      </w:r>
    </w:p>
    <w:p w14:paraId="0A912E93" w14:textId="77777777" w:rsidR="00C569E1" w:rsidRDefault="00A41FB5">
      <w:pPr>
        <w:spacing w:line="300" w:lineRule="auto"/>
        <w:ind w:firstLineChars="200" w:firstLine="480"/>
        <w:rPr>
          <w:color w:val="000000" w:themeColor="text1"/>
          <w:sz w:val="24"/>
          <w:szCs w:val="24"/>
        </w:rPr>
      </w:pPr>
      <w:r>
        <w:rPr>
          <w:color w:val="000000" w:themeColor="text1"/>
          <w:sz w:val="24"/>
          <w:szCs w:val="24"/>
        </w:rPr>
        <w:lastRenderedPageBreak/>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）剩余价值生产的两种形式</w:t>
      </w:r>
    </w:p>
    <w:p w14:paraId="7EB46BB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bookmarkStart w:id="0" w:name="_Hlk108187336"/>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）资本主义工资</w:t>
      </w:r>
    </w:p>
    <w:p w14:paraId="6A94E25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）资本主义再生产和资本积累</w:t>
      </w:r>
    </w:p>
    <w:p w14:paraId="6CBBC027"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）资本主义再生产的新变化</w:t>
      </w:r>
      <w:bookmarkEnd w:id="0"/>
    </w:p>
    <w:p w14:paraId="79C779DF" w14:textId="77777777" w:rsidR="00C569E1" w:rsidRDefault="00A41FB5">
      <w:pPr>
        <w:spacing w:line="300" w:lineRule="auto"/>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、资本主义流通</w:t>
      </w:r>
    </w:p>
    <w:p w14:paraId="749B5AD1"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）资本的循环</w:t>
      </w:r>
    </w:p>
    <w:p w14:paraId="06F7F90B"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）资本的周转</w:t>
      </w:r>
    </w:p>
    <w:p w14:paraId="7219CADF"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）社会总资本的再生产</w:t>
      </w:r>
    </w:p>
    <w:p w14:paraId="6288CFD6"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）资本主义流通的新变化</w:t>
      </w:r>
    </w:p>
    <w:p w14:paraId="359A2420" w14:textId="77777777" w:rsidR="00C569E1" w:rsidRDefault="00A41FB5">
      <w:pPr>
        <w:spacing w:line="300" w:lineRule="auto"/>
        <w:ind w:firstLine="480"/>
        <w:rPr>
          <w:color w:val="000000" w:themeColor="text1"/>
          <w:sz w:val="24"/>
          <w:szCs w:val="24"/>
        </w:rPr>
      </w:pPr>
      <w:r>
        <w:rPr>
          <w:color w:val="000000" w:themeColor="text1"/>
          <w:sz w:val="24"/>
          <w:szCs w:val="24"/>
        </w:rPr>
        <w:t>4</w:t>
      </w:r>
      <w:r>
        <w:rPr>
          <w:rFonts w:hint="eastAsia"/>
          <w:color w:val="000000" w:themeColor="text1"/>
          <w:sz w:val="24"/>
          <w:szCs w:val="24"/>
        </w:rPr>
        <w:t>、剩余价值的分配</w:t>
      </w:r>
    </w:p>
    <w:p w14:paraId="7568C23A"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）平均利润和生产价格</w:t>
      </w:r>
    </w:p>
    <w:p w14:paraId="4EF02CC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）商业利润、利息和地租</w:t>
      </w:r>
    </w:p>
    <w:p w14:paraId="6EF26B96"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）资本主义分配关系的新变化</w:t>
      </w:r>
    </w:p>
    <w:p w14:paraId="65165A84" w14:textId="77777777" w:rsidR="00C569E1" w:rsidRDefault="00A41FB5">
      <w:pPr>
        <w:spacing w:line="300" w:lineRule="auto"/>
        <w:ind w:firstLine="480"/>
        <w:rPr>
          <w:color w:val="000000" w:themeColor="text1"/>
          <w:sz w:val="24"/>
          <w:szCs w:val="24"/>
        </w:rPr>
      </w:pPr>
      <w:r>
        <w:rPr>
          <w:color w:val="000000" w:themeColor="text1"/>
          <w:sz w:val="24"/>
          <w:szCs w:val="24"/>
        </w:rPr>
        <w:t>5</w:t>
      </w:r>
      <w:r>
        <w:rPr>
          <w:rFonts w:hint="eastAsia"/>
          <w:color w:val="000000" w:themeColor="text1"/>
          <w:sz w:val="24"/>
          <w:szCs w:val="24"/>
        </w:rPr>
        <w:t>、资本主义经济危机和历史趋势</w:t>
      </w:r>
    </w:p>
    <w:p w14:paraId="259B71EA"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）资本主义经济危机</w:t>
      </w:r>
    </w:p>
    <w:p w14:paraId="576DF06E"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）资本主义的历史地位</w:t>
      </w:r>
    </w:p>
    <w:p w14:paraId="2FAD7E4F"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）资本主义发展的历史趋势</w:t>
      </w:r>
    </w:p>
    <w:p w14:paraId="2DD36814" w14:textId="77777777" w:rsidR="00C569E1" w:rsidRDefault="00A41FB5">
      <w:pPr>
        <w:spacing w:line="300" w:lineRule="auto"/>
        <w:rPr>
          <w:color w:val="000000" w:themeColor="text1"/>
          <w:sz w:val="24"/>
          <w:szCs w:val="24"/>
        </w:rPr>
      </w:pPr>
      <w:r>
        <w:rPr>
          <w:rFonts w:hint="eastAsia"/>
          <w:color w:val="000000" w:themeColor="text1"/>
          <w:sz w:val="24"/>
          <w:szCs w:val="24"/>
        </w:rPr>
        <w:t>（三）社会主义经济</w:t>
      </w:r>
    </w:p>
    <w:p w14:paraId="224C96C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、社会主义经济制度</w:t>
      </w:r>
    </w:p>
    <w:p w14:paraId="6F40AC53"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）社会主义经济制度的建立和发展</w:t>
      </w:r>
    </w:p>
    <w:p w14:paraId="1F1FE52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）新时代中国特色社会主义经济建设</w:t>
      </w:r>
    </w:p>
    <w:p w14:paraId="25A73D3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）坚持以人民为中心的发展</w:t>
      </w:r>
    </w:p>
    <w:p w14:paraId="1BE479B1"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）坚持和完善社会主义基本经济制度</w:t>
      </w:r>
    </w:p>
    <w:p w14:paraId="271D47CE" w14:textId="77777777" w:rsidR="00C569E1" w:rsidRDefault="00A41FB5">
      <w:pPr>
        <w:spacing w:line="30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、中国特色社会主义所有制</w:t>
      </w:r>
    </w:p>
    <w:p w14:paraId="29586EC6"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）中国特色社会主义所有制的基本内涵</w:t>
      </w:r>
    </w:p>
    <w:p w14:paraId="409E599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）毫不动摇巩固和发展公有制经济</w:t>
      </w:r>
    </w:p>
    <w:p w14:paraId="15E04137"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）毫不动摇鼓励支持引导非公有制经济发展</w:t>
      </w:r>
      <w:r>
        <w:rPr>
          <w:color w:val="000000" w:themeColor="text1"/>
          <w:sz w:val="24"/>
          <w:szCs w:val="24"/>
        </w:rPr>
        <w:t xml:space="preserve"> </w:t>
      </w:r>
    </w:p>
    <w:p w14:paraId="57328D68" w14:textId="77777777" w:rsidR="00C569E1" w:rsidRDefault="00A41FB5">
      <w:pPr>
        <w:spacing w:line="300" w:lineRule="auto"/>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、中国特色社会主义分配制度</w:t>
      </w:r>
    </w:p>
    <w:p w14:paraId="4967B1FC"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）社会主义分配制度的内涵</w:t>
      </w:r>
    </w:p>
    <w:p w14:paraId="2A23FD4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）按劳分配为主体、多种分配方式并存</w:t>
      </w:r>
    </w:p>
    <w:p w14:paraId="41B8090C"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）保障社会公平，提高人民收入水平</w:t>
      </w:r>
    </w:p>
    <w:p w14:paraId="4C3FE80D" w14:textId="77777777" w:rsidR="00C569E1" w:rsidRDefault="00A41FB5">
      <w:pPr>
        <w:spacing w:line="300" w:lineRule="auto"/>
        <w:ind w:firstLine="480"/>
        <w:rPr>
          <w:color w:val="000000" w:themeColor="text1"/>
          <w:sz w:val="24"/>
          <w:szCs w:val="24"/>
        </w:rPr>
      </w:pPr>
      <w:r>
        <w:rPr>
          <w:color w:val="000000" w:themeColor="text1"/>
          <w:sz w:val="24"/>
          <w:szCs w:val="24"/>
        </w:rPr>
        <w:t>4</w:t>
      </w:r>
      <w:r>
        <w:rPr>
          <w:rFonts w:hint="eastAsia"/>
          <w:color w:val="000000" w:themeColor="text1"/>
          <w:sz w:val="24"/>
          <w:szCs w:val="24"/>
        </w:rPr>
        <w:t>、社会主义市场经济体制</w:t>
      </w:r>
    </w:p>
    <w:p w14:paraId="4AB61AA1"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）社会主义市场经济体制改革</w:t>
      </w:r>
    </w:p>
    <w:p w14:paraId="47287F82"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）社会主义市场经济体制的特征与优势</w:t>
      </w:r>
    </w:p>
    <w:p w14:paraId="77B0831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）社会主义市场经济体制不断完善</w:t>
      </w:r>
    </w:p>
    <w:p w14:paraId="49A182D6" w14:textId="77777777" w:rsidR="00C569E1" w:rsidRDefault="00A41FB5">
      <w:pPr>
        <w:spacing w:line="300" w:lineRule="auto"/>
        <w:ind w:firstLineChars="200" w:firstLine="480"/>
        <w:rPr>
          <w:color w:val="000000" w:themeColor="text1"/>
          <w:sz w:val="24"/>
          <w:szCs w:val="24"/>
        </w:rPr>
      </w:pPr>
      <w:r>
        <w:rPr>
          <w:color w:val="000000" w:themeColor="text1"/>
          <w:sz w:val="24"/>
          <w:szCs w:val="24"/>
        </w:rPr>
        <w:lastRenderedPageBreak/>
        <w:t xml:space="preserve">   </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）社会主义市场经济中的政府和市场关系</w:t>
      </w:r>
    </w:p>
    <w:p w14:paraId="54252D3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）社会主义市场经济中的宏观经济治理</w:t>
      </w:r>
    </w:p>
    <w:p w14:paraId="3144C99C" w14:textId="77777777" w:rsidR="00C569E1" w:rsidRDefault="00A41FB5">
      <w:pPr>
        <w:spacing w:line="300" w:lineRule="auto"/>
        <w:ind w:firstLine="480"/>
        <w:rPr>
          <w:color w:val="000000" w:themeColor="text1"/>
          <w:sz w:val="24"/>
          <w:szCs w:val="24"/>
        </w:rPr>
      </w:pPr>
      <w:r>
        <w:rPr>
          <w:color w:val="000000" w:themeColor="text1"/>
          <w:sz w:val="24"/>
          <w:szCs w:val="24"/>
        </w:rPr>
        <w:t>5</w:t>
      </w:r>
      <w:r>
        <w:rPr>
          <w:rFonts w:hint="eastAsia"/>
          <w:color w:val="000000" w:themeColor="text1"/>
          <w:sz w:val="24"/>
          <w:szCs w:val="24"/>
        </w:rPr>
        <w:t>、中国特色社会主义经济发展</w:t>
      </w:r>
    </w:p>
    <w:p w14:paraId="36F740B6"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）对经济发展认识的演进</w:t>
      </w:r>
    </w:p>
    <w:p w14:paraId="467A5431"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）推动经济高质量发展</w:t>
      </w:r>
    </w:p>
    <w:p w14:paraId="5DFCBFF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）加快构建新发展格局</w:t>
      </w:r>
    </w:p>
    <w:p w14:paraId="445DD467"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）中国特色经济发展道路</w:t>
      </w:r>
    </w:p>
    <w:p w14:paraId="5EAA538D"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）推动形成优势互补高质量发展的区域经济布局</w:t>
      </w:r>
    </w:p>
    <w:p w14:paraId="475423C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6</w:t>
      </w:r>
      <w:r>
        <w:rPr>
          <w:rFonts w:hint="eastAsia"/>
          <w:color w:val="000000" w:themeColor="text1"/>
          <w:sz w:val="24"/>
          <w:szCs w:val="24"/>
        </w:rPr>
        <w:t>、生态文明建设与绿色发展</w:t>
      </w:r>
    </w:p>
    <w:p w14:paraId="01EDAE8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）生态文明建设的重大意义和基本遵循</w:t>
      </w:r>
    </w:p>
    <w:p w14:paraId="164C9EED"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）推动绿色发展</w:t>
      </w:r>
    </w:p>
    <w:p w14:paraId="14799A9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）推动绿色发展的主要路径</w:t>
      </w:r>
    </w:p>
    <w:p w14:paraId="182BFE41" w14:textId="77777777" w:rsidR="00C569E1" w:rsidRDefault="00A41FB5">
      <w:pPr>
        <w:spacing w:line="300" w:lineRule="auto"/>
        <w:ind w:firstLineChars="200" w:firstLine="480"/>
        <w:rPr>
          <w:color w:val="000000" w:themeColor="text1"/>
          <w:sz w:val="24"/>
          <w:szCs w:val="24"/>
        </w:rPr>
      </w:pPr>
      <w:r>
        <w:rPr>
          <w:color w:val="000000" w:themeColor="text1"/>
          <w:sz w:val="24"/>
          <w:szCs w:val="24"/>
        </w:rPr>
        <w:t>7</w:t>
      </w:r>
      <w:r>
        <w:rPr>
          <w:rFonts w:hint="eastAsia"/>
          <w:color w:val="000000" w:themeColor="text1"/>
          <w:sz w:val="24"/>
          <w:szCs w:val="24"/>
        </w:rPr>
        <w:t>、保障和改善民生</w:t>
      </w:r>
    </w:p>
    <w:p w14:paraId="6AC5B8F6"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）保障和改善民生的内涵和意义</w:t>
      </w:r>
    </w:p>
    <w:p w14:paraId="3E559BCB"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）在发展中保障和改善民生</w:t>
      </w:r>
    </w:p>
    <w:p w14:paraId="7546A045"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）完全覆盖全民的社会保障体系</w:t>
      </w:r>
    </w:p>
    <w:p w14:paraId="317F7BFE" w14:textId="77777777" w:rsidR="00C569E1" w:rsidRDefault="00A41FB5">
      <w:pPr>
        <w:spacing w:line="300" w:lineRule="auto"/>
        <w:ind w:firstLine="480"/>
        <w:rPr>
          <w:color w:val="000000" w:themeColor="text1"/>
          <w:sz w:val="24"/>
          <w:szCs w:val="24"/>
        </w:rPr>
      </w:pPr>
      <w:r>
        <w:rPr>
          <w:color w:val="000000" w:themeColor="text1"/>
          <w:sz w:val="24"/>
          <w:szCs w:val="24"/>
        </w:rPr>
        <w:t>8</w:t>
      </w:r>
      <w:r>
        <w:rPr>
          <w:rFonts w:hint="eastAsia"/>
          <w:color w:val="000000" w:themeColor="text1"/>
          <w:sz w:val="24"/>
          <w:szCs w:val="24"/>
        </w:rPr>
        <w:t>、中国特色社会主义对外开放</w:t>
      </w:r>
    </w:p>
    <w:p w14:paraId="02C47B98"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）对外开放是中国的基本国策</w:t>
      </w:r>
    </w:p>
    <w:p w14:paraId="46C6322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）新时代的对外开放</w:t>
      </w:r>
    </w:p>
    <w:p w14:paraId="3C7F34B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）对外开放的主要内容</w:t>
      </w:r>
    </w:p>
    <w:p w14:paraId="77168847"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）中国对外经济关系和国家经济安全</w:t>
      </w:r>
    </w:p>
    <w:p w14:paraId="3676FB4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9</w:t>
      </w:r>
      <w:r>
        <w:rPr>
          <w:rFonts w:hint="eastAsia"/>
          <w:color w:val="000000" w:themeColor="text1"/>
          <w:sz w:val="24"/>
          <w:szCs w:val="24"/>
        </w:rPr>
        <w:t>、当年中国中央人民政府文件所涉及的重要经济问题</w:t>
      </w:r>
    </w:p>
    <w:p w14:paraId="0D930427" w14:textId="77777777" w:rsidR="00C569E1" w:rsidRDefault="00A41FB5">
      <w:pPr>
        <w:spacing w:line="300" w:lineRule="auto"/>
        <w:rPr>
          <w:color w:val="000000" w:themeColor="text1"/>
          <w:sz w:val="24"/>
          <w:szCs w:val="24"/>
        </w:rPr>
      </w:pPr>
      <w:r>
        <w:rPr>
          <w:rFonts w:hint="eastAsia"/>
          <w:color w:val="000000" w:themeColor="text1"/>
          <w:sz w:val="24"/>
          <w:szCs w:val="24"/>
        </w:rPr>
        <w:t>（四）经济全球化和推动建设人类命运共同体</w:t>
      </w:r>
    </w:p>
    <w:p w14:paraId="5C12FD78" w14:textId="77777777" w:rsidR="00C569E1" w:rsidRDefault="00A41FB5">
      <w:pPr>
        <w:spacing w:line="300" w:lineRule="auto"/>
        <w:ind w:firstLine="480"/>
        <w:rPr>
          <w:color w:val="000000" w:themeColor="text1"/>
          <w:sz w:val="24"/>
          <w:szCs w:val="24"/>
        </w:rPr>
      </w:pPr>
      <w:r>
        <w:rPr>
          <w:color w:val="000000" w:themeColor="text1"/>
          <w:sz w:val="24"/>
          <w:szCs w:val="24"/>
        </w:rPr>
        <w:t>1</w:t>
      </w:r>
      <w:r>
        <w:rPr>
          <w:rFonts w:hint="eastAsia"/>
          <w:color w:val="000000" w:themeColor="text1"/>
          <w:sz w:val="24"/>
          <w:szCs w:val="24"/>
        </w:rPr>
        <w:t>、经济全球化与全球经济治理</w:t>
      </w:r>
    </w:p>
    <w:p w14:paraId="5F92D25D"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）经济全球化的形成与发展</w:t>
      </w:r>
    </w:p>
    <w:p w14:paraId="1E9D1799"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）经济全球化的发展趋势</w:t>
      </w:r>
    </w:p>
    <w:p w14:paraId="0B9F0BF2"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）全球经济治理与国际经济秩序</w:t>
      </w:r>
    </w:p>
    <w:p w14:paraId="6F9A01B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、共建“一带一路”与推动共建人类命运共同体</w:t>
      </w:r>
    </w:p>
    <w:p w14:paraId="0240387A"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）共建“一带一路”</w:t>
      </w:r>
    </w:p>
    <w:p w14:paraId="74C34AF4"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）推动共建人类命运共同体</w:t>
      </w:r>
    </w:p>
    <w:p w14:paraId="031F5A0C" w14:textId="77777777" w:rsidR="00C569E1" w:rsidRDefault="00C569E1">
      <w:pPr>
        <w:spacing w:line="300" w:lineRule="auto"/>
        <w:ind w:firstLineChars="200" w:firstLine="482"/>
        <w:rPr>
          <w:b/>
          <w:bCs/>
          <w:color w:val="000000" w:themeColor="text1"/>
          <w:sz w:val="24"/>
          <w:szCs w:val="24"/>
        </w:rPr>
      </w:pPr>
    </w:p>
    <w:p w14:paraId="64CE3BE0" w14:textId="77777777" w:rsidR="00C569E1" w:rsidRDefault="00C569E1">
      <w:pPr>
        <w:spacing w:line="300" w:lineRule="auto"/>
        <w:ind w:firstLineChars="200" w:firstLine="482"/>
        <w:rPr>
          <w:b/>
          <w:bCs/>
          <w:color w:val="000000" w:themeColor="text1"/>
          <w:sz w:val="24"/>
          <w:szCs w:val="24"/>
        </w:rPr>
      </w:pPr>
    </w:p>
    <w:p w14:paraId="56DBDF16" w14:textId="77777777" w:rsidR="00C569E1" w:rsidRDefault="00A41FB5">
      <w:pPr>
        <w:pStyle w:val="a9"/>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二、西方经济学部分</w:t>
      </w:r>
    </w:p>
    <w:p w14:paraId="4C0A3040"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导论</w:t>
      </w:r>
    </w:p>
    <w:p w14:paraId="3DE9D83F"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什么是西方经济学</w:t>
      </w:r>
    </w:p>
    <w:p w14:paraId="4F19D04A" w14:textId="77777777" w:rsidR="00C569E1" w:rsidRDefault="00A41FB5">
      <w:pPr>
        <w:spacing w:line="300" w:lineRule="auto"/>
        <w:ind w:firstLineChars="200" w:firstLine="480"/>
        <w:rPr>
          <w:color w:val="000000" w:themeColor="text1"/>
          <w:sz w:val="24"/>
          <w:szCs w:val="24"/>
        </w:rPr>
      </w:pPr>
      <w:r>
        <w:rPr>
          <w:color w:val="000000" w:themeColor="text1"/>
          <w:sz w:val="24"/>
          <w:szCs w:val="24"/>
        </w:rPr>
        <w:lastRenderedPageBreak/>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西方经济学的由来和发展</w:t>
      </w:r>
    </w:p>
    <w:p w14:paraId="2C5873D6"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西方经济学的研究对象</w:t>
      </w:r>
    </w:p>
    <w:p w14:paraId="5860A11F"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西方经济学的研究方法</w:t>
      </w:r>
    </w:p>
    <w:p w14:paraId="0E120DF0"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怎样学习西方经济学</w:t>
      </w:r>
    </w:p>
    <w:p w14:paraId="65AD645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上篇</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微观经济学</w:t>
      </w:r>
    </w:p>
    <w:p w14:paraId="47EF2144"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第一章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需求、供给和均衡价格</w:t>
      </w:r>
    </w:p>
    <w:p w14:paraId="3BDC085E" w14:textId="77777777" w:rsidR="00C569E1" w:rsidRDefault="00A41FB5">
      <w:pPr>
        <w:spacing w:line="300" w:lineRule="auto"/>
        <w:ind w:firstLineChars="200"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需求</w:t>
      </w:r>
    </w:p>
    <w:p w14:paraId="0339CFC0"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供给</w:t>
      </w:r>
    </w:p>
    <w:p w14:paraId="5BE3A4C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市场均衡</w:t>
      </w:r>
    </w:p>
    <w:p w14:paraId="47366B8C"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弹性</w:t>
      </w:r>
    </w:p>
    <w:p w14:paraId="0DC8BC3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68EA5CF4"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第二章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消费者选择</w:t>
      </w:r>
    </w:p>
    <w:p w14:paraId="01FCF2F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效用理论概述</w:t>
      </w:r>
    </w:p>
    <w:p w14:paraId="60014D3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无差异曲线</w:t>
      </w:r>
    </w:p>
    <w:p w14:paraId="2CFBF0E7"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预算约束线</w:t>
      </w:r>
    </w:p>
    <w:p w14:paraId="5855A80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消费者均衡</w:t>
      </w:r>
    </w:p>
    <w:p w14:paraId="691D0EA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价格变动的替代效应和收入效应</w:t>
      </w:r>
    </w:p>
    <w:p w14:paraId="1AC725C2"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第七节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65005333"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第三章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企业的生产和成本</w:t>
      </w:r>
    </w:p>
    <w:p w14:paraId="5884AF8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企业</w:t>
      </w:r>
    </w:p>
    <w:p w14:paraId="754FC73B"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生产函数</w:t>
      </w:r>
    </w:p>
    <w:p w14:paraId="109B0AD0"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短期生产函数</w:t>
      </w:r>
    </w:p>
    <w:p w14:paraId="26FA8217"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长期生产函数</w:t>
      </w:r>
    </w:p>
    <w:p w14:paraId="735D6C7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短期成本函数</w:t>
      </w:r>
    </w:p>
    <w:p w14:paraId="62180A3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长期成本函数</w:t>
      </w:r>
    </w:p>
    <w:p w14:paraId="4F4BF3B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第七节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2FD154E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第四章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完全竞争市场</w:t>
      </w:r>
    </w:p>
    <w:p w14:paraId="0CB2D5D9"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企业收益、市场结构和利润最大化</w:t>
      </w:r>
    </w:p>
    <w:p w14:paraId="43C2949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完全竞争企业面临的需求曲线和收益曲线</w:t>
      </w:r>
    </w:p>
    <w:p w14:paraId="1ACB258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完全竞争企业的短期均衡</w:t>
      </w:r>
    </w:p>
    <w:p w14:paraId="7E6B2FC9"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完全竞争企业和市场的长期均衡</w:t>
      </w:r>
    </w:p>
    <w:p w14:paraId="7115355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55AD410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第五章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不完全竞争市场</w:t>
      </w:r>
    </w:p>
    <w:p w14:paraId="72A44FF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垄断</w:t>
      </w:r>
    </w:p>
    <w:p w14:paraId="249D30F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垄断竞争</w:t>
      </w:r>
    </w:p>
    <w:p w14:paraId="3D6D4DD3"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lastRenderedPageBreak/>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寡头</w:t>
      </w:r>
    </w:p>
    <w:p w14:paraId="254F716B"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一、寡头的含义及特点</w:t>
      </w:r>
    </w:p>
    <w:p w14:paraId="73BEE092"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二、古诺模型</w:t>
      </w:r>
    </w:p>
    <w:p w14:paraId="7CBA44E9"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不同市场的比较</w:t>
      </w:r>
    </w:p>
    <w:p w14:paraId="10F292DD"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44F8D14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第六章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生产要素市场的和收入分配</w:t>
      </w:r>
    </w:p>
    <w:p w14:paraId="18812B9F"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完全竞争和要素需求</w:t>
      </w:r>
    </w:p>
    <w:p w14:paraId="2E73274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要素供给的一般理论</w:t>
      </w:r>
    </w:p>
    <w:p w14:paraId="12B7020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劳动和工资</w:t>
      </w:r>
    </w:p>
    <w:p w14:paraId="11D5663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第七节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42C005A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第七章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一般均衡与效率</w:t>
      </w:r>
    </w:p>
    <w:p w14:paraId="5BA4D8A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一般均衡</w:t>
      </w:r>
    </w:p>
    <w:p w14:paraId="5E18D02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竞争性均衡与经济效率</w:t>
      </w:r>
    </w:p>
    <w:p w14:paraId="78F6D65D"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308A985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第八章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市场失灵和微观经济政策</w:t>
      </w:r>
    </w:p>
    <w:p w14:paraId="5002D9F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垄断</w:t>
      </w:r>
    </w:p>
    <w:p w14:paraId="1870671F"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外部性</w:t>
      </w:r>
    </w:p>
    <w:p w14:paraId="2B30BEF2"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公共物品和公共资源</w:t>
      </w:r>
    </w:p>
    <w:p w14:paraId="081A039D"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信息不完全和不对称</w:t>
      </w:r>
    </w:p>
    <w:p w14:paraId="69094C44"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深入中的不平等</w:t>
      </w:r>
    </w:p>
    <w:p w14:paraId="24BFA95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67CF4F6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下篇</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宏观经济学</w:t>
      </w:r>
    </w:p>
    <w:p w14:paraId="17253CF8"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第九章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宏观经济的基本指标及其衡量</w:t>
      </w:r>
    </w:p>
    <w:p w14:paraId="0AA0ABD2"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国内生产总值及其衡量</w:t>
      </w:r>
    </w:p>
    <w:p w14:paraId="50EC53D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价格水平及其衡量</w:t>
      </w:r>
    </w:p>
    <w:p w14:paraId="1558E33B"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失业及其衡量</w:t>
      </w:r>
    </w:p>
    <w:p w14:paraId="0E12018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与基本指标相关的宏观经济问题</w:t>
      </w:r>
    </w:p>
    <w:p w14:paraId="63D1B9F6"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7FD8005C"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第十章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国民收入的决定：收入</w:t>
      </w:r>
      <w:r>
        <w:rPr>
          <w:rFonts w:hint="eastAsia"/>
          <w:color w:val="000000" w:themeColor="text1"/>
          <w:sz w:val="24"/>
          <w:szCs w:val="24"/>
        </w:rPr>
        <w:t>-</w:t>
      </w:r>
      <w:r>
        <w:rPr>
          <w:rFonts w:hint="eastAsia"/>
          <w:color w:val="000000" w:themeColor="text1"/>
          <w:sz w:val="24"/>
          <w:szCs w:val="24"/>
        </w:rPr>
        <w:t>支出模型</w:t>
      </w:r>
    </w:p>
    <w:p w14:paraId="1C92BC24"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均衡国民收入的决定</w:t>
      </w:r>
    </w:p>
    <w:p w14:paraId="44486827"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两部门经济：家庭部门</w:t>
      </w:r>
    </w:p>
    <w:p w14:paraId="28D0670D"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两部门经济：企业部门</w:t>
      </w:r>
    </w:p>
    <w:p w14:paraId="5E0E311E"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三部门经济：政府部门</w:t>
      </w:r>
    </w:p>
    <w:p w14:paraId="617F2C1B" w14:textId="77777777" w:rsidR="00C569E1" w:rsidRDefault="00A41FB5">
      <w:pPr>
        <w:spacing w:line="300" w:lineRule="auto"/>
        <w:ind w:firstLineChars="400" w:firstLine="960"/>
        <w:rPr>
          <w:color w:val="000000" w:themeColor="text1"/>
          <w:sz w:val="24"/>
          <w:szCs w:val="24"/>
        </w:rPr>
      </w:pP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四部门经济：国外部门</w:t>
      </w:r>
    </w:p>
    <w:p w14:paraId="66CBEA56" w14:textId="77777777" w:rsidR="00C569E1" w:rsidRDefault="00A41FB5">
      <w:pPr>
        <w:spacing w:line="300" w:lineRule="auto"/>
        <w:ind w:firstLineChars="400" w:firstLine="960"/>
        <w:rPr>
          <w:color w:val="000000" w:themeColor="text1"/>
          <w:sz w:val="24"/>
          <w:szCs w:val="24"/>
        </w:rPr>
      </w:pP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影响需求的重要机制：乘数</w:t>
      </w:r>
    </w:p>
    <w:p w14:paraId="37E9DFFA" w14:textId="77777777" w:rsidR="00C569E1" w:rsidRDefault="00A41FB5">
      <w:pPr>
        <w:spacing w:line="300" w:lineRule="auto"/>
        <w:rPr>
          <w:color w:val="000000" w:themeColor="text1"/>
          <w:sz w:val="24"/>
          <w:szCs w:val="24"/>
        </w:rPr>
      </w:pPr>
      <w:r>
        <w:rPr>
          <w:rFonts w:hint="eastAsia"/>
          <w:color w:val="000000" w:themeColor="text1"/>
          <w:sz w:val="24"/>
          <w:szCs w:val="24"/>
        </w:rPr>
        <w:lastRenderedPageBreak/>
        <w:t xml:space="preserve"> </w:t>
      </w:r>
      <w:r>
        <w:rPr>
          <w:color w:val="000000" w:themeColor="text1"/>
          <w:sz w:val="24"/>
          <w:szCs w:val="24"/>
        </w:rPr>
        <w:t xml:space="preserve">       </w:t>
      </w:r>
      <w:r>
        <w:rPr>
          <w:rFonts w:hint="eastAsia"/>
          <w:color w:val="000000" w:themeColor="text1"/>
          <w:sz w:val="24"/>
          <w:szCs w:val="24"/>
        </w:rPr>
        <w:t>第七节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22424187"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第十一章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国民收入的决定：</w:t>
      </w:r>
      <w:r>
        <w:rPr>
          <w:rFonts w:hint="eastAsia"/>
          <w:color w:val="000000" w:themeColor="text1"/>
          <w:sz w:val="24"/>
          <w:szCs w:val="24"/>
        </w:rPr>
        <w:t>IS-LM</w:t>
      </w:r>
      <w:r>
        <w:rPr>
          <w:rFonts w:hint="eastAsia"/>
          <w:color w:val="000000" w:themeColor="text1"/>
          <w:sz w:val="24"/>
          <w:szCs w:val="24"/>
        </w:rPr>
        <w:t>模型</w:t>
      </w:r>
    </w:p>
    <w:p w14:paraId="62D8AB5D"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产品市场的均衡：</w:t>
      </w:r>
      <w:r>
        <w:rPr>
          <w:rFonts w:hint="eastAsia"/>
          <w:color w:val="000000" w:themeColor="text1"/>
          <w:sz w:val="24"/>
          <w:szCs w:val="24"/>
        </w:rPr>
        <w:t>IS</w:t>
      </w:r>
      <w:r>
        <w:rPr>
          <w:rFonts w:hint="eastAsia"/>
          <w:color w:val="000000" w:themeColor="text1"/>
          <w:sz w:val="24"/>
          <w:szCs w:val="24"/>
        </w:rPr>
        <w:t>曲线</w:t>
      </w:r>
    </w:p>
    <w:p w14:paraId="2D32E807"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货币市场的均衡：</w:t>
      </w:r>
      <w:r>
        <w:rPr>
          <w:rFonts w:hint="eastAsia"/>
          <w:color w:val="000000" w:themeColor="text1"/>
          <w:sz w:val="24"/>
          <w:szCs w:val="24"/>
        </w:rPr>
        <w:t>LM</w:t>
      </w:r>
      <w:r>
        <w:rPr>
          <w:rFonts w:hint="eastAsia"/>
          <w:color w:val="000000" w:themeColor="text1"/>
          <w:sz w:val="24"/>
          <w:szCs w:val="24"/>
        </w:rPr>
        <w:t>曲线</w:t>
      </w:r>
    </w:p>
    <w:p w14:paraId="14FC14D6"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产品市场和货币市场的共同均衡：</w:t>
      </w:r>
      <w:r>
        <w:rPr>
          <w:rFonts w:hint="eastAsia"/>
          <w:color w:val="000000" w:themeColor="text1"/>
          <w:sz w:val="24"/>
          <w:szCs w:val="24"/>
        </w:rPr>
        <w:t>IS-LM</w:t>
      </w:r>
      <w:r>
        <w:rPr>
          <w:rFonts w:hint="eastAsia"/>
          <w:color w:val="000000" w:themeColor="text1"/>
          <w:sz w:val="24"/>
          <w:szCs w:val="24"/>
        </w:rPr>
        <w:t>模型</w:t>
      </w:r>
    </w:p>
    <w:p w14:paraId="25B80360"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1F66451B"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第十二章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国民收入的决定：</w:t>
      </w:r>
      <w:r>
        <w:rPr>
          <w:rFonts w:hint="eastAsia"/>
          <w:color w:val="000000" w:themeColor="text1"/>
          <w:sz w:val="24"/>
          <w:szCs w:val="24"/>
        </w:rPr>
        <w:t>AD-AS</w:t>
      </w:r>
      <w:r>
        <w:rPr>
          <w:rFonts w:hint="eastAsia"/>
          <w:color w:val="000000" w:themeColor="text1"/>
          <w:sz w:val="24"/>
          <w:szCs w:val="24"/>
        </w:rPr>
        <w:t>模型</w:t>
      </w:r>
    </w:p>
    <w:p w14:paraId="3175DE5F"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AD</w:t>
      </w:r>
      <w:r>
        <w:rPr>
          <w:rFonts w:hint="eastAsia"/>
          <w:color w:val="000000" w:themeColor="text1"/>
          <w:sz w:val="24"/>
          <w:szCs w:val="24"/>
        </w:rPr>
        <w:t>曲线及其变动</w:t>
      </w:r>
    </w:p>
    <w:p w14:paraId="11E0B9E2"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AS</w:t>
      </w:r>
      <w:r>
        <w:rPr>
          <w:rFonts w:hint="eastAsia"/>
          <w:color w:val="000000" w:themeColor="text1"/>
          <w:sz w:val="24"/>
          <w:szCs w:val="24"/>
        </w:rPr>
        <w:t>曲线及其变动</w:t>
      </w:r>
    </w:p>
    <w:p w14:paraId="7547BEA2"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AD-AS</w:t>
      </w:r>
      <w:r>
        <w:rPr>
          <w:rFonts w:hint="eastAsia"/>
          <w:color w:val="000000" w:themeColor="text1"/>
          <w:sz w:val="24"/>
          <w:szCs w:val="24"/>
        </w:rPr>
        <w:t>模型</w:t>
      </w:r>
    </w:p>
    <w:p w14:paraId="5C693B25"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AD-AS</w:t>
      </w:r>
      <w:r>
        <w:rPr>
          <w:rFonts w:hint="eastAsia"/>
          <w:color w:val="000000" w:themeColor="text1"/>
          <w:sz w:val="24"/>
          <w:szCs w:val="24"/>
        </w:rPr>
        <w:t>模型对外来冲击的反应</w:t>
      </w:r>
    </w:p>
    <w:p w14:paraId="4C0EE2AB"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721A86FF"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第十三章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失业、通货膨胀和经济周期</w:t>
      </w:r>
    </w:p>
    <w:p w14:paraId="7EB9CC69" w14:textId="77777777" w:rsidR="00C569E1" w:rsidRDefault="00A41FB5">
      <w:pPr>
        <w:pStyle w:val="ad"/>
        <w:numPr>
          <w:ilvl w:val="0"/>
          <w:numId w:val="1"/>
        </w:numPr>
        <w:spacing w:line="300" w:lineRule="auto"/>
        <w:ind w:firstLineChars="0"/>
        <w:rPr>
          <w:color w:val="000000" w:themeColor="text1"/>
          <w:sz w:val="24"/>
          <w:szCs w:val="24"/>
        </w:rPr>
      </w:pPr>
      <w:r>
        <w:rPr>
          <w:rFonts w:hint="eastAsia"/>
          <w:color w:val="000000" w:themeColor="text1"/>
          <w:sz w:val="24"/>
          <w:szCs w:val="24"/>
        </w:rPr>
        <w:t>失业</w:t>
      </w:r>
    </w:p>
    <w:p w14:paraId="38E3C803"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通货膨胀</w:t>
      </w:r>
    </w:p>
    <w:p w14:paraId="157CFC46"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菲利普斯曲线</w:t>
      </w:r>
    </w:p>
    <w:p w14:paraId="76E6D375"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经济周期</w:t>
      </w:r>
    </w:p>
    <w:p w14:paraId="104B1B07"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2C58A832"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第十四章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开放条件下的宏观经济</w:t>
      </w:r>
    </w:p>
    <w:p w14:paraId="60395908" w14:textId="77777777" w:rsidR="00C569E1" w:rsidRDefault="00A41FB5">
      <w:pPr>
        <w:spacing w:line="300" w:lineRule="auto"/>
        <w:ind w:firstLine="480"/>
        <w:rPr>
          <w:color w:val="000000" w:themeColor="text1"/>
          <w:sz w:val="24"/>
          <w:szCs w:val="24"/>
        </w:rPr>
      </w:pP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国际收支与汇率</w:t>
      </w:r>
    </w:p>
    <w:p w14:paraId="13198411"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蒙代尔</w:t>
      </w:r>
      <w:r>
        <w:rPr>
          <w:rFonts w:hint="eastAsia"/>
          <w:color w:val="000000" w:themeColor="text1"/>
          <w:sz w:val="24"/>
          <w:szCs w:val="24"/>
        </w:rPr>
        <w:t>-</w:t>
      </w:r>
      <w:r>
        <w:rPr>
          <w:rFonts w:hint="eastAsia"/>
          <w:color w:val="000000" w:themeColor="text1"/>
          <w:sz w:val="24"/>
          <w:szCs w:val="24"/>
        </w:rPr>
        <w:t>弗莱明模型</w:t>
      </w:r>
    </w:p>
    <w:p w14:paraId="54EC32D4"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国定汇率制下的政策效果</w:t>
      </w:r>
    </w:p>
    <w:p w14:paraId="0466C0C4"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浮动汇率制下的政策效果</w:t>
      </w:r>
    </w:p>
    <w:p w14:paraId="74FDD932"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498243A2"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第十五章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宏观经济政策</w:t>
      </w:r>
    </w:p>
    <w:p w14:paraId="25696A0E"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宏观经济政策目标</w:t>
      </w:r>
    </w:p>
    <w:p w14:paraId="58166A82"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财政政策</w:t>
      </w:r>
    </w:p>
    <w:p w14:paraId="6F00EBBE"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货币政策</w:t>
      </w:r>
    </w:p>
    <w:p w14:paraId="1160D528"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财政政策和货币政策的局限性与协调</w:t>
      </w:r>
    </w:p>
    <w:p w14:paraId="4ADE200B"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供给管理政策</w:t>
      </w:r>
    </w:p>
    <w:p w14:paraId="46802EE5"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3E93EC6C"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第十六章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经济增长</w:t>
      </w:r>
    </w:p>
    <w:p w14:paraId="4BE1ADEC"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第一节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经济增长的描述和事实</w:t>
      </w:r>
    </w:p>
    <w:p w14:paraId="2BDA038A"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第二节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经济增长的决定因素</w:t>
      </w:r>
    </w:p>
    <w:p w14:paraId="65C67F93"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第三节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新古典增长模型</w:t>
      </w:r>
    </w:p>
    <w:p w14:paraId="0B191E52"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lastRenderedPageBreak/>
        <w:t xml:space="preserve"> </w:t>
      </w:r>
      <w:r>
        <w:rPr>
          <w:color w:val="000000" w:themeColor="text1"/>
          <w:sz w:val="24"/>
          <w:szCs w:val="24"/>
        </w:rPr>
        <w:t xml:space="preserve">   </w:t>
      </w:r>
      <w:r>
        <w:rPr>
          <w:rFonts w:hint="eastAsia"/>
          <w:color w:val="000000" w:themeColor="text1"/>
          <w:sz w:val="24"/>
          <w:szCs w:val="24"/>
        </w:rPr>
        <w:t>第四节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内生增长模型</w:t>
      </w:r>
    </w:p>
    <w:p w14:paraId="5DACE330"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第五节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增长核算</w:t>
      </w:r>
    </w:p>
    <w:p w14:paraId="4C949981"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第六节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促进经济增长的政策</w:t>
      </w:r>
    </w:p>
    <w:p w14:paraId="7BD1C75F" w14:textId="77777777" w:rsidR="00C569E1" w:rsidRDefault="00A41FB5">
      <w:pPr>
        <w:spacing w:line="300" w:lineRule="auto"/>
        <w:ind w:firstLine="480"/>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第七节</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本章评析</w:t>
      </w:r>
    </w:p>
    <w:p w14:paraId="39DA7BBA" w14:textId="77777777" w:rsidR="00C569E1" w:rsidRDefault="00C569E1">
      <w:pPr>
        <w:spacing w:line="300" w:lineRule="auto"/>
        <w:rPr>
          <w:color w:val="000000" w:themeColor="text1"/>
          <w:sz w:val="24"/>
          <w:szCs w:val="24"/>
        </w:rPr>
      </w:pPr>
    </w:p>
    <w:p w14:paraId="0DC95DEC" w14:textId="77777777" w:rsidR="00C569E1" w:rsidRDefault="00A41FB5">
      <w:pPr>
        <w:pStyle w:val="ab"/>
        <w:rPr>
          <w:rFonts w:ascii="宋体" w:eastAsia="宋体" w:hAnsi="宋体"/>
          <w:color w:val="000000" w:themeColor="text1"/>
          <w:sz w:val="28"/>
          <w:szCs w:val="28"/>
        </w:rPr>
      </w:pPr>
      <w:r>
        <w:rPr>
          <w:rFonts w:ascii="宋体" w:eastAsia="宋体" w:hAnsi="宋体" w:hint="eastAsia"/>
          <w:color w:val="000000" w:themeColor="text1"/>
          <w:sz w:val="28"/>
          <w:szCs w:val="28"/>
        </w:rPr>
        <w:t>第三部分 题型示例</w:t>
      </w:r>
    </w:p>
    <w:p w14:paraId="0124E7ED" w14:textId="7DB6C18D" w:rsidR="00C569E1" w:rsidRDefault="00310D7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一、简答与计算题</w:t>
      </w:r>
      <w:r w:rsidR="00A41FB5">
        <w:rPr>
          <w:rFonts w:ascii="宋体" w:eastAsia="宋体" w:hAnsi="宋体" w:hint="eastAsia"/>
          <w:color w:val="000000" w:themeColor="text1"/>
          <w:sz w:val="24"/>
          <w:szCs w:val="24"/>
        </w:rPr>
        <w:t>及参考答案</w:t>
      </w:r>
    </w:p>
    <w:p w14:paraId="7FE2239E" w14:textId="77777777" w:rsidR="00C569E1" w:rsidRDefault="00A41FB5">
      <w:pPr>
        <w:spacing w:line="300" w:lineRule="auto"/>
        <w:ind w:firstLineChars="200" w:firstLine="482"/>
        <w:rPr>
          <w:b/>
          <w:bCs/>
          <w:color w:val="000000" w:themeColor="text1"/>
          <w:sz w:val="24"/>
          <w:szCs w:val="24"/>
        </w:rPr>
      </w:pPr>
      <w:r>
        <w:rPr>
          <w:rFonts w:hint="eastAsia"/>
          <w:b/>
          <w:bCs/>
          <w:color w:val="000000" w:themeColor="text1"/>
          <w:sz w:val="24"/>
          <w:szCs w:val="24"/>
        </w:rPr>
        <w:t>1</w:t>
      </w:r>
      <w:r>
        <w:rPr>
          <w:rFonts w:hint="eastAsia"/>
          <w:b/>
          <w:bCs/>
          <w:color w:val="000000" w:themeColor="text1"/>
          <w:sz w:val="24"/>
          <w:szCs w:val="24"/>
        </w:rPr>
        <w:t>、运用基尼系数和库兹涅茨曲线说明一国收入分配不平等的状况和变化趋势。（</w:t>
      </w:r>
      <w:r>
        <w:rPr>
          <w:rFonts w:hint="eastAsia"/>
          <w:b/>
          <w:bCs/>
          <w:color w:val="000000" w:themeColor="text1"/>
          <w:sz w:val="24"/>
          <w:szCs w:val="24"/>
        </w:rPr>
        <w:t>15</w:t>
      </w:r>
      <w:r>
        <w:rPr>
          <w:rFonts w:hint="eastAsia"/>
          <w:b/>
          <w:bCs/>
          <w:color w:val="000000" w:themeColor="text1"/>
          <w:sz w:val="24"/>
          <w:szCs w:val="24"/>
        </w:rPr>
        <w:t>分）</w:t>
      </w:r>
    </w:p>
    <w:p w14:paraId="217D7144"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基尼系数是根据洛伦茨曲线计算出的反映收入分配平等程度的指标。如果将洛伦茨曲线与绝对平等曲线之间的面积用</w:t>
      </w:r>
      <w:r>
        <w:rPr>
          <w:rFonts w:hint="eastAsia"/>
          <w:color w:val="000000" w:themeColor="text1"/>
          <w:sz w:val="24"/>
          <w:szCs w:val="24"/>
        </w:rPr>
        <w:t>A</w:t>
      </w:r>
      <w:r>
        <w:rPr>
          <w:rFonts w:hint="eastAsia"/>
          <w:color w:val="000000" w:themeColor="text1"/>
          <w:sz w:val="24"/>
          <w:szCs w:val="24"/>
        </w:rPr>
        <w:t>来表示，把洛伦茨曲线与绝对不平等折线之间的面积用</w:t>
      </w:r>
      <w:r>
        <w:rPr>
          <w:rFonts w:hint="eastAsia"/>
          <w:color w:val="000000" w:themeColor="text1"/>
          <w:sz w:val="24"/>
          <w:szCs w:val="24"/>
        </w:rPr>
        <w:t>B</w:t>
      </w:r>
      <w:r>
        <w:rPr>
          <w:rFonts w:hint="eastAsia"/>
          <w:color w:val="000000" w:themeColor="text1"/>
          <w:sz w:val="24"/>
          <w:szCs w:val="24"/>
        </w:rPr>
        <w:t>来表示（可以作图表示），则计算基尼系数（</w:t>
      </w:r>
      <w:r>
        <w:rPr>
          <w:rFonts w:hint="eastAsia"/>
          <w:color w:val="000000" w:themeColor="text1"/>
          <w:sz w:val="24"/>
          <w:szCs w:val="24"/>
        </w:rPr>
        <w:t>G</w:t>
      </w:r>
      <w:r>
        <w:rPr>
          <w:rFonts w:hint="eastAsia"/>
          <w:color w:val="000000" w:themeColor="text1"/>
          <w:sz w:val="24"/>
          <w:szCs w:val="24"/>
        </w:rPr>
        <w:t>）的公式就可以用下式来表示。</w:t>
      </w:r>
    </w:p>
    <w:p w14:paraId="646F0F4C" w14:textId="77777777" w:rsidR="00C569E1" w:rsidRDefault="00A41FB5">
      <w:pPr>
        <w:spacing w:line="300" w:lineRule="auto"/>
        <w:ind w:firstLineChars="200" w:firstLine="420"/>
        <w:jc w:val="center"/>
        <w:rPr>
          <w:color w:val="000000" w:themeColor="text1"/>
          <w:sz w:val="24"/>
          <w:szCs w:val="24"/>
        </w:rPr>
      </w:pPr>
      <w:r>
        <w:rPr>
          <w:rFonts w:ascii="宋体" w:hAnsi="宋体"/>
          <w:color w:val="000000" w:themeColor="text1"/>
          <w:position w:val="-24"/>
        </w:rPr>
        <w:object w:dxaOrig="1093" w:dyaOrig="620" w14:anchorId="6F111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1.5pt" o:ole="">
            <v:imagedata r:id="rId7" o:title=""/>
          </v:shape>
          <o:OLEObject Type="Embed" ProgID="Equation.3" ShapeID="_x0000_i1025" DrawAspect="Content" ObjectID="_1789216058" r:id="rId8"/>
        </w:object>
      </w:r>
    </w:p>
    <w:p w14:paraId="13AACF66" w14:textId="77777777" w:rsidR="00C569E1" w:rsidRDefault="00A41FB5">
      <w:pPr>
        <w:spacing w:line="300" w:lineRule="auto"/>
        <w:rPr>
          <w:color w:val="000000" w:themeColor="text1"/>
          <w:sz w:val="24"/>
          <w:szCs w:val="24"/>
        </w:rPr>
      </w:pPr>
      <w:r>
        <w:rPr>
          <w:rFonts w:hint="eastAsia"/>
          <w:color w:val="000000" w:themeColor="text1"/>
          <w:sz w:val="24"/>
          <w:szCs w:val="24"/>
        </w:rPr>
        <w:t>根据上式，当</w:t>
      </w:r>
      <w:r>
        <w:rPr>
          <w:rFonts w:hint="eastAsia"/>
          <w:color w:val="000000" w:themeColor="text1"/>
          <w:sz w:val="24"/>
          <w:szCs w:val="24"/>
        </w:rPr>
        <w:t>A</w:t>
      </w:r>
      <w:r>
        <w:rPr>
          <w:rFonts w:hint="eastAsia"/>
          <w:color w:val="000000" w:themeColor="text1"/>
          <w:sz w:val="24"/>
          <w:szCs w:val="24"/>
        </w:rPr>
        <w:t>＝</w:t>
      </w:r>
      <w:r>
        <w:rPr>
          <w:rFonts w:hint="eastAsia"/>
          <w:color w:val="000000" w:themeColor="text1"/>
          <w:sz w:val="24"/>
          <w:szCs w:val="24"/>
        </w:rPr>
        <w:t>0</w:t>
      </w:r>
      <w:r>
        <w:rPr>
          <w:rFonts w:hint="eastAsia"/>
          <w:color w:val="000000" w:themeColor="text1"/>
          <w:sz w:val="24"/>
          <w:szCs w:val="24"/>
        </w:rPr>
        <w:t>时，基尼系数等于零，这意味着收入分配是绝对平等的；当</w:t>
      </w:r>
      <w:r>
        <w:rPr>
          <w:rFonts w:hint="eastAsia"/>
          <w:color w:val="000000" w:themeColor="text1"/>
          <w:sz w:val="24"/>
          <w:szCs w:val="24"/>
        </w:rPr>
        <w:t>B</w:t>
      </w:r>
      <w:r>
        <w:rPr>
          <w:rFonts w:hint="eastAsia"/>
          <w:color w:val="000000" w:themeColor="text1"/>
          <w:sz w:val="24"/>
          <w:szCs w:val="24"/>
        </w:rPr>
        <w:t>＝</w:t>
      </w:r>
      <w:r>
        <w:rPr>
          <w:rFonts w:hint="eastAsia"/>
          <w:color w:val="000000" w:themeColor="text1"/>
          <w:sz w:val="24"/>
          <w:szCs w:val="24"/>
        </w:rPr>
        <w:t>0</w:t>
      </w:r>
      <w:r>
        <w:rPr>
          <w:rFonts w:hint="eastAsia"/>
          <w:color w:val="000000" w:themeColor="text1"/>
          <w:sz w:val="24"/>
          <w:szCs w:val="24"/>
        </w:rPr>
        <w:t>时，基尼系数等于</w:t>
      </w:r>
      <w:r>
        <w:rPr>
          <w:rFonts w:hint="eastAsia"/>
          <w:color w:val="000000" w:themeColor="text1"/>
          <w:sz w:val="24"/>
          <w:szCs w:val="24"/>
        </w:rPr>
        <w:t>1</w:t>
      </w:r>
      <w:r>
        <w:rPr>
          <w:rFonts w:hint="eastAsia"/>
          <w:color w:val="000000" w:themeColor="text1"/>
          <w:sz w:val="24"/>
          <w:szCs w:val="24"/>
        </w:rPr>
        <w:t>，这表明收入分配是绝对不平等的。在现实经济中，由于绝对平等和绝对不平等的情况不可能存在，因此，实际的基尼系数总是大于零而小于</w:t>
      </w:r>
      <w:r>
        <w:rPr>
          <w:rFonts w:hint="eastAsia"/>
          <w:color w:val="000000" w:themeColor="text1"/>
          <w:sz w:val="24"/>
          <w:szCs w:val="24"/>
        </w:rPr>
        <w:t>1</w:t>
      </w:r>
      <w:r>
        <w:rPr>
          <w:rFonts w:hint="eastAsia"/>
          <w:color w:val="000000" w:themeColor="text1"/>
          <w:sz w:val="24"/>
          <w:szCs w:val="24"/>
        </w:rPr>
        <w:t>。基尼系数越小，说明收人分配越是平等；反之，基尼系数越大，则说明收入分配越是不平等。</w:t>
      </w:r>
    </w:p>
    <w:p w14:paraId="1AE3280A"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根据国际上通用的标准，基尼系数如果低于</w:t>
      </w:r>
      <w:r>
        <w:rPr>
          <w:rFonts w:hint="eastAsia"/>
          <w:color w:val="000000" w:themeColor="text1"/>
          <w:sz w:val="24"/>
          <w:szCs w:val="24"/>
        </w:rPr>
        <w:t>0.2</w:t>
      </w:r>
      <w:r>
        <w:rPr>
          <w:rFonts w:hint="eastAsia"/>
          <w:color w:val="000000" w:themeColor="text1"/>
          <w:sz w:val="24"/>
          <w:szCs w:val="24"/>
        </w:rPr>
        <w:t>，则说明收入分配绝对平等，如果在</w:t>
      </w:r>
      <w:r>
        <w:rPr>
          <w:rFonts w:hint="eastAsia"/>
          <w:color w:val="000000" w:themeColor="text1"/>
          <w:sz w:val="24"/>
          <w:szCs w:val="24"/>
        </w:rPr>
        <w:t>0.2</w:t>
      </w:r>
      <w:r>
        <w:rPr>
          <w:rFonts w:hint="eastAsia"/>
          <w:color w:val="000000" w:themeColor="text1"/>
          <w:sz w:val="24"/>
          <w:szCs w:val="24"/>
        </w:rPr>
        <w:t>～</w:t>
      </w:r>
      <w:r>
        <w:rPr>
          <w:rFonts w:hint="eastAsia"/>
          <w:color w:val="000000" w:themeColor="text1"/>
          <w:sz w:val="24"/>
          <w:szCs w:val="24"/>
        </w:rPr>
        <w:t>0.3</w:t>
      </w:r>
      <w:r>
        <w:rPr>
          <w:rFonts w:hint="eastAsia"/>
          <w:color w:val="000000" w:themeColor="text1"/>
          <w:sz w:val="24"/>
          <w:szCs w:val="24"/>
        </w:rPr>
        <w:t>之间，则表示收入分配比较平等，若在</w:t>
      </w:r>
      <w:r>
        <w:rPr>
          <w:rFonts w:hint="eastAsia"/>
          <w:color w:val="000000" w:themeColor="text1"/>
          <w:sz w:val="24"/>
          <w:szCs w:val="24"/>
        </w:rPr>
        <w:t>0.3</w:t>
      </w:r>
      <w:r>
        <w:rPr>
          <w:rFonts w:hint="eastAsia"/>
          <w:color w:val="000000" w:themeColor="text1"/>
          <w:sz w:val="24"/>
          <w:szCs w:val="24"/>
        </w:rPr>
        <w:t>～</w:t>
      </w:r>
      <w:r>
        <w:rPr>
          <w:rFonts w:hint="eastAsia"/>
          <w:color w:val="000000" w:themeColor="text1"/>
          <w:sz w:val="24"/>
          <w:szCs w:val="24"/>
        </w:rPr>
        <w:t>0.4</w:t>
      </w:r>
      <w:r>
        <w:rPr>
          <w:rFonts w:hint="eastAsia"/>
          <w:color w:val="000000" w:themeColor="text1"/>
          <w:sz w:val="24"/>
          <w:szCs w:val="24"/>
        </w:rPr>
        <w:t>之间，则表示收入分配基本合理，如果在</w:t>
      </w:r>
      <w:r>
        <w:rPr>
          <w:rFonts w:hint="eastAsia"/>
          <w:color w:val="000000" w:themeColor="text1"/>
          <w:sz w:val="24"/>
          <w:szCs w:val="24"/>
        </w:rPr>
        <w:t>0.4</w:t>
      </w:r>
      <w:r>
        <w:rPr>
          <w:rFonts w:hint="eastAsia"/>
          <w:color w:val="000000" w:themeColor="text1"/>
          <w:sz w:val="24"/>
          <w:szCs w:val="24"/>
        </w:rPr>
        <w:t>～</w:t>
      </w:r>
      <w:r>
        <w:rPr>
          <w:rFonts w:hint="eastAsia"/>
          <w:color w:val="000000" w:themeColor="text1"/>
          <w:sz w:val="24"/>
          <w:szCs w:val="24"/>
        </w:rPr>
        <w:t>0.5</w:t>
      </w:r>
      <w:r>
        <w:rPr>
          <w:rFonts w:hint="eastAsia"/>
          <w:color w:val="000000" w:themeColor="text1"/>
          <w:sz w:val="24"/>
          <w:szCs w:val="24"/>
        </w:rPr>
        <w:t>之间，则表明收入分配的差距较大，而如果基尼系数在</w:t>
      </w:r>
      <w:r>
        <w:rPr>
          <w:rFonts w:hint="eastAsia"/>
          <w:color w:val="000000" w:themeColor="text1"/>
          <w:sz w:val="24"/>
          <w:szCs w:val="24"/>
        </w:rPr>
        <w:t>0.5</w:t>
      </w:r>
      <w:r>
        <w:rPr>
          <w:rFonts w:hint="eastAsia"/>
          <w:color w:val="000000" w:themeColor="text1"/>
          <w:sz w:val="24"/>
          <w:szCs w:val="24"/>
        </w:rPr>
        <w:t>以上，则表示收入差距过于悬殊。其中，</w:t>
      </w:r>
      <w:r>
        <w:rPr>
          <w:rFonts w:hint="eastAsia"/>
          <w:color w:val="000000" w:themeColor="text1"/>
          <w:sz w:val="24"/>
          <w:szCs w:val="24"/>
        </w:rPr>
        <w:t>0.4</w:t>
      </w:r>
      <w:r>
        <w:rPr>
          <w:rFonts w:hint="eastAsia"/>
          <w:color w:val="000000" w:themeColor="text1"/>
          <w:sz w:val="24"/>
          <w:szCs w:val="24"/>
        </w:rPr>
        <w:t>的基尼系数是国际警戒线。</w:t>
      </w:r>
    </w:p>
    <w:p w14:paraId="1783D303"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在一个平面坐标上，横轴表示一个经济体的经济增长指标（通常用人均产出</w:t>
      </w:r>
      <w:r>
        <w:rPr>
          <w:rFonts w:hint="eastAsia"/>
          <w:color w:val="000000" w:themeColor="text1"/>
          <w:sz w:val="24"/>
          <w:szCs w:val="24"/>
        </w:rPr>
        <w:t>y</w:t>
      </w:r>
      <w:r>
        <w:rPr>
          <w:rFonts w:hint="eastAsia"/>
          <w:color w:val="000000" w:themeColor="text1"/>
          <w:sz w:val="24"/>
          <w:szCs w:val="24"/>
        </w:rPr>
        <w:t>来表示），纵轴表示收入分配不平等程度的指标（用基尼系数</w:t>
      </w:r>
      <w:r>
        <w:rPr>
          <w:rFonts w:hint="eastAsia"/>
          <w:color w:val="000000" w:themeColor="text1"/>
          <w:sz w:val="24"/>
          <w:szCs w:val="24"/>
        </w:rPr>
        <w:t>G</w:t>
      </w:r>
      <w:r>
        <w:rPr>
          <w:rFonts w:hint="eastAsia"/>
          <w:color w:val="000000" w:themeColor="text1"/>
          <w:sz w:val="24"/>
          <w:szCs w:val="24"/>
        </w:rPr>
        <w:t>来表示），则经济增长和收入分配不平等程度的变动轨迹就会构成一条倒“</w:t>
      </w:r>
      <w:r>
        <w:rPr>
          <w:rFonts w:hint="eastAsia"/>
          <w:color w:val="000000" w:themeColor="text1"/>
          <w:sz w:val="24"/>
          <w:szCs w:val="24"/>
        </w:rPr>
        <w:t>U</w:t>
      </w:r>
      <w:r>
        <w:rPr>
          <w:rFonts w:hint="eastAsia"/>
          <w:color w:val="000000" w:themeColor="text1"/>
          <w:sz w:val="24"/>
          <w:szCs w:val="24"/>
        </w:rPr>
        <w:t>”字形曲线，即库兹涅茨曲线（可以作图表示）。库兹涅茨倒“</w:t>
      </w:r>
      <w:r>
        <w:rPr>
          <w:rFonts w:hint="eastAsia"/>
          <w:color w:val="000000" w:themeColor="text1"/>
          <w:sz w:val="24"/>
          <w:szCs w:val="24"/>
        </w:rPr>
        <w:t>U</w:t>
      </w:r>
      <w:r>
        <w:rPr>
          <w:rFonts w:hint="eastAsia"/>
          <w:color w:val="000000" w:themeColor="text1"/>
          <w:sz w:val="24"/>
          <w:szCs w:val="24"/>
        </w:rPr>
        <w:t>”字形假说描述了经济增长改变社会经济结构，进而影响收入分配不平等程度的变化趋势。其基本内容是：不平等的长期波动构成长期收入分配的特性。在前工业文明向工业文明极为快速转变的经济增长早期，不平等的程度会不断扩大；经过一个时期后会变得稳定；到了增长后期，不平等的程度将会缩小。库兹涅茨曲线描述了一国收入分配不平等的</w:t>
      </w:r>
      <w:r>
        <w:rPr>
          <w:rFonts w:hint="eastAsia"/>
          <w:color w:val="000000" w:themeColor="text1"/>
          <w:sz w:val="24"/>
          <w:szCs w:val="24"/>
        </w:rPr>
        <w:lastRenderedPageBreak/>
        <w:t>发展趋势。</w:t>
      </w:r>
    </w:p>
    <w:p w14:paraId="3742E997"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在现实经济中，一个经济社会收入分配不平等的程度和发展趋势，还会受除经济增长之外的其他因素，尤其是一个国家的经济制度和经济政策的影响。</w:t>
      </w:r>
    </w:p>
    <w:p w14:paraId="1D0814FB" w14:textId="77777777" w:rsidR="00C569E1" w:rsidRDefault="00C569E1">
      <w:pPr>
        <w:spacing w:line="300" w:lineRule="auto"/>
        <w:rPr>
          <w:color w:val="000000" w:themeColor="text1"/>
          <w:sz w:val="24"/>
          <w:szCs w:val="24"/>
        </w:rPr>
      </w:pPr>
    </w:p>
    <w:p w14:paraId="5A19B3D4" w14:textId="77777777" w:rsidR="00C569E1" w:rsidRDefault="00A41FB5">
      <w:pPr>
        <w:spacing w:line="300" w:lineRule="auto"/>
        <w:ind w:firstLineChars="200" w:firstLine="482"/>
        <w:rPr>
          <w:b/>
          <w:bCs/>
          <w:color w:val="000000" w:themeColor="text1"/>
          <w:sz w:val="24"/>
          <w:szCs w:val="24"/>
        </w:rPr>
      </w:pPr>
      <w:r>
        <w:rPr>
          <w:rFonts w:hint="eastAsia"/>
          <w:b/>
          <w:bCs/>
          <w:color w:val="000000" w:themeColor="text1"/>
          <w:sz w:val="24"/>
          <w:szCs w:val="24"/>
        </w:rPr>
        <w:t>2</w:t>
      </w:r>
      <w:r>
        <w:rPr>
          <w:rFonts w:hint="eastAsia"/>
          <w:b/>
          <w:bCs/>
          <w:color w:val="000000" w:themeColor="text1"/>
          <w:sz w:val="24"/>
          <w:szCs w:val="24"/>
        </w:rPr>
        <w:t>、用马克思主义政治经济学阐述资本主义扩大再生产的实现条件及其在现实经济中经常遭到破坏的原因。（</w:t>
      </w:r>
      <w:r>
        <w:rPr>
          <w:rFonts w:hint="eastAsia"/>
          <w:b/>
          <w:bCs/>
          <w:color w:val="000000" w:themeColor="text1"/>
          <w:sz w:val="24"/>
          <w:szCs w:val="24"/>
        </w:rPr>
        <w:t>15</w:t>
      </w:r>
      <w:r>
        <w:rPr>
          <w:rFonts w:hint="eastAsia"/>
          <w:b/>
          <w:bCs/>
          <w:color w:val="000000" w:themeColor="text1"/>
          <w:sz w:val="24"/>
          <w:szCs w:val="24"/>
        </w:rPr>
        <w:t>分）</w:t>
      </w:r>
    </w:p>
    <w:p w14:paraId="2714B345"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为了说明资本主义扩大再生产的实现条件，马克思把社会生产分为两大部类：生产生产资料的部门为第Ⅰ部类，生产消费资料的部门为第Ⅱ部类。社会总资本扩大再生产的实现条件是：</w:t>
      </w:r>
    </w:p>
    <w:p w14:paraId="602E1D14"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第一，第Ⅰ部类原有可变资本加上追加的可变资本，再加上本部类资本家用于个人消费的剩余价值之和，必须等于第Ⅱ部类的不变资本加上追加的不变资本之和，即：</w:t>
      </w:r>
    </w:p>
    <w:p w14:paraId="641E7F40"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Ⅰ（</w:t>
      </w:r>
      <w:r>
        <w:rPr>
          <w:rFonts w:hint="eastAsia"/>
          <w:color w:val="000000" w:themeColor="text1"/>
          <w:sz w:val="24"/>
          <w:szCs w:val="24"/>
        </w:rPr>
        <w:t>v+</w:t>
      </w:r>
      <w:r>
        <w:rPr>
          <w:rFonts w:hint="eastAsia"/>
          <w:color w:val="000000" w:themeColor="text1"/>
          <w:sz w:val="24"/>
          <w:szCs w:val="24"/>
        </w:rPr>
        <w:t>△</w:t>
      </w:r>
      <w:r>
        <w:rPr>
          <w:rFonts w:hint="eastAsia"/>
          <w:color w:val="000000" w:themeColor="text1"/>
          <w:sz w:val="24"/>
          <w:szCs w:val="24"/>
        </w:rPr>
        <w:t xml:space="preserve">v+m/x)= </w:t>
      </w:r>
      <w:r>
        <w:rPr>
          <w:rFonts w:hint="eastAsia"/>
          <w:color w:val="000000" w:themeColor="text1"/>
          <w:sz w:val="24"/>
          <w:szCs w:val="24"/>
        </w:rPr>
        <w:t>Ⅱ</w:t>
      </w:r>
      <w:r>
        <w:rPr>
          <w:rFonts w:hint="eastAsia"/>
          <w:color w:val="000000" w:themeColor="text1"/>
          <w:sz w:val="24"/>
          <w:szCs w:val="24"/>
        </w:rPr>
        <w:t>(c+</w:t>
      </w:r>
      <w:r>
        <w:rPr>
          <w:rFonts w:hint="eastAsia"/>
          <w:color w:val="000000" w:themeColor="text1"/>
          <w:sz w:val="24"/>
          <w:szCs w:val="24"/>
        </w:rPr>
        <w:t>△</w:t>
      </w:r>
      <w:r>
        <w:rPr>
          <w:rFonts w:hint="eastAsia"/>
          <w:color w:val="000000" w:themeColor="text1"/>
          <w:sz w:val="24"/>
          <w:szCs w:val="24"/>
        </w:rPr>
        <w:t xml:space="preserve">c)                    </w:t>
      </w: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w:t>
      </w:r>
    </w:p>
    <w:p w14:paraId="0104A52D"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第二，第Ⅰ部类全部产品的价值必须等于两大部类原有的不变资本加上追加的不变资本之和，即：</w:t>
      </w:r>
    </w:p>
    <w:p w14:paraId="2A416A8B"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Ⅰ（</w:t>
      </w:r>
      <w:r>
        <w:rPr>
          <w:rFonts w:hint="eastAsia"/>
          <w:color w:val="000000" w:themeColor="text1"/>
          <w:sz w:val="24"/>
          <w:szCs w:val="24"/>
        </w:rPr>
        <w:t>c+v+m</w:t>
      </w:r>
      <w:r>
        <w:rPr>
          <w:rFonts w:hint="eastAsia"/>
          <w:color w:val="000000" w:themeColor="text1"/>
          <w:sz w:val="24"/>
          <w:szCs w:val="24"/>
        </w:rPr>
        <w:t>）</w:t>
      </w:r>
      <w:r>
        <w:rPr>
          <w:rFonts w:hint="eastAsia"/>
          <w:color w:val="000000" w:themeColor="text1"/>
          <w:sz w:val="24"/>
          <w:szCs w:val="24"/>
        </w:rPr>
        <w:t>=</w:t>
      </w:r>
      <w:r>
        <w:rPr>
          <w:rFonts w:hint="eastAsia"/>
          <w:color w:val="000000" w:themeColor="text1"/>
          <w:sz w:val="24"/>
          <w:szCs w:val="24"/>
        </w:rPr>
        <w:t>Ⅰ</w:t>
      </w:r>
      <w:r>
        <w:rPr>
          <w:rFonts w:hint="eastAsia"/>
          <w:color w:val="000000" w:themeColor="text1"/>
          <w:sz w:val="24"/>
          <w:szCs w:val="24"/>
        </w:rPr>
        <w:t>(c+</w:t>
      </w:r>
      <w:r>
        <w:rPr>
          <w:rFonts w:hint="eastAsia"/>
          <w:color w:val="000000" w:themeColor="text1"/>
          <w:sz w:val="24"/>
          <w:szCs w:val="24"/>
        </w:rPr>
        <w:t>△</w:t>
      </w:r>
      <w:r>
        <w:rPr>
          <w:rFonts w:hint="eastAsia"/>
          <w:color w:val="000000" w:themeColor="text1"/>
          <w:sz w:val="24"/>
          <w:szCs w:val="24"/>
        </w:rPr>
        <w:t xml:space="preserve">c)+ </w:t>
      </w:r>
      <w:r>
        <w:rPr>
          <w:rFonts w:hint="eastAsia"/>
          <w:color w:val="000000" w:themeColor="text1"/>
          <w:sz w:val="24"/>
          <w:szCs w:val="24"/>
        </w:rPr>
        <w:t>Ⅱ</w:t>
      </w:r>
      <w:r>
        <w:rPr>
          <w:rFonts w:hint="eastAsia"/>
          <w:color w:val="000000" w:themeColor="text1"/>
          <w:sz w:val="24"/>
          <w:szCs w:val="24"/>
        </w:rPr>
        <w:t>(c+</w:t>
      </w:r>
      <w:r>
        <w:rPr>
          <w:rFonts w:hint="eastAsia"/>
          <w:color w:val="000000" w:themeColor="text1"/>
          <w:sz w:val="24"/>
          <w:szCs w:val="24"/>
        </w:rPr>
        <w:t>△</w:t>
      </w:r>
      <w:r>
        <w:rPr>
          <w:rFonts w:hint="eastAsia"/>
          <w:color w:val="000000" w:themeColor="text1"/>
          <w:sz w:val="24"/>
          <w:szCs w:val="24"/>
        </w:rPr>
        <w:t xml:space="preserve">c)                  </w:t>
      </w: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w:t>
      </w:r>
    </w:p>
    <w:p w14:paraId="2AA11D02"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第三，第Ⅱ部类生产的全部产品的价值必须等于两大部类原有可变资本加上追加可变资本，再加上资本家个人消费的剩余价值之和。即：</w:t>
      </w:r>
    </w:p>
    <w:p w14:paraId="01E291C9" w14:textId="77777777" w:rsidR="00C569E1" w:rsidRDefault="00A41FB5">
      <w:pPr>
        <w:spacing w:line="300" w:lineRule="auto"/>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Ⅱ（</w:t>
      </w:r>
      <w:r>
        <w:rPr>
          <w:rFonts w:hint="eastAsia"/>
          <w:color w:val="000000" w:themeColor="text1"/>
          <w:sz w:val="24"/>
          <w:szCs w:val="24"/>
        </w:rPr>
        <w:t>c+v+m</w:t>
      </w:r>
      <w:r>
        <w:rPr>
          <w:rFonts w:hint="eastAsia"/>
          <w:color w:val="000000" w:themeColor="text1"/>
          <w:sz w:val="24"/>
          <w:szCs w:val="24"/>
        </w:rPr>
        <w:t>）</w:t>
      </w:r>
      <w:r>
        <w:rPr>
          <w:rFonts w:hint="eastAsia"/>
          <w:color w:val="000000" w:themeColor="text1"/>
          <w:sz w:val="24"/>
          <w:szCs w:val="24"/>
        </w:rPr>
        <w:t>=</w:t>
      </w:r>
      <w:r>
        <w:rPr>
          <w:rFonts w:hint="eastAsia"/>
          <w:color w:val="000000" w:themeColor="text1"/>
          <w:sz w:val="24"/>
          <w:szCs w:val="24"/>
        </w:rPr>
        <w:t>Ⅰ（</w:t>
      </w:r>
      <w:r>
        <w:rPr>
          <w:rFonts w:hint="eastAsia"/>
          <w:color w:val="000000" w:themeColor="text1"/>
          <w:sz w:val="24"/>
          <w:szCs w:val="24"/>
        </w:rPr>
        <w:t>v+</w:t>
      </w:r>
      <w:r>
        <w:rPr>
          <w:rFonts w:hint="eastAsia"/>
          <w:color w:val="000000" w:themeColor="text1"/>
          <w:sz w:val="24"/>
          <w:szCs w:val="24"/>
        </w:rPr>
        <w:t>△</w:t>
      </w:r>
      <w:r>
        <w:rPr>
          <w:rFonts w:hint="eastAsia"/>
          <w:color w:val="000000" w:themeColor="text1"/>
          <w:sz w:val="24"/>
          <w:szCs w:val="24"/>
        </w:rPr>
        <w:t xml:space="preserve">v+m/x)+ </w:t>
      </w:r>
      <w:r>
        <w:rPr>
          <w:rFonts w:hint="eastAsia"/>
          <w:color w:val="000000" w:themeColor="text1"/>
          <w:sz w:val="24"/>
          <w:szCs w:val="24"/>
        </w:rPr>
        <w:t>Ⅱ（</w:t>
      </w:r>
      <w:r>
        <w:rPr>
          <w:rFonts w:hint="eastAsia"/>
          <w:color w:val="000000" w:themeColor="text1"/>
          <w:sz w:val="24"/>
          <w:szCs w:val="24"/>
        </w:rPr>
        <w:t>v+</w:t>
      </w:r>
      <w:r>
        <w:rPr>
          <w:rFonts w:hint="eastAsia"/>
          <w:color w:val="000000" w:themeColor="text1"/>
          <w:sz w:val="24"/>
          <w:szCs w:val="24"/>
        </w:rPr>
        <w:t>△</w:t>
      </w:r>
      <w:r>
        <w:rPr>
          <w:rFonts w:hint="eastAsia"/>
          <w:color w:val="000000" w:themeColor="text1"/>
          <w:sz w:val="24"/>
          <w:szCs w:val="24"/>
        </w:rPr>
        <w:t xml:space="preserve">v+m/x)          </w:t>
      </w: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w:t>
      </w:r>
    </w:p>
    <w:p w14:paraId="6BFF82C1"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在上述三个条件中，第一个条件是基本的，另两个条件是派生的。它们分别从不同的侧面，共同决定着社会资本扩大再生产的顺利实现。</w:t>
      </w:r>
    </w:p>
    <w:p w14:paraId="4448072F"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马克思的再生产理论表明，资本主义生产是扩大再生产，在扩大再生产条件下，社会生产的两大部类以及每个部类内部的各个部门之间，都必须保持一定的比例关系。但是，在资本主义经济领域中，由于充满着种种不可克服的矛盾，使得社会总资本再生产所需要的比例关系经常遭到破坏。这些矛盾主要有：生产的社会性与生产资料资本主义私人占有制之间的矛盾，以及由这一矛盾所引起的个别企业有组织性与整个社会生产无政府状态的矛盾、生产无限扩大的趋势与劳动者有支付能力的需求相对缩小的矛盾等。当这些矛盾发展到尖锐化程度后，资本主义扩大再生产所必须的比例关系即社会资本扩大再生产的实现条件就会遭到破坏，从而爆发以生产过剩为特征的经济危机。</w:t>
      </w:r>
    </w:p>
    <w:p w14:paraId="672C4CBC" w14:textId="77777777" w:rsidR="00310D75" w:rsidRDefault="00310D75">
      <w:pPr>
        <w:spacing w:line="300" w:lineRule="auto"/>
        <w:ind w:firstLineChars="200" w:firstLine="480"/>
        <w:rPr>
          <w:color w:val="000000" w:themeColor="text1"/>
          <w:sz w:val="24"/>
          <w:szCs w:val="24"/>
        </w:rPr>
      </w:pPr>
    </w:p>
    <w:p w14:paraId="33087951" w14:textId="400D7173" w:rsidR="00310D75" w:rsidRPr="00B82795" w:rsidRDefault="00310D75" w:rsidP="00310D75">
      <w:pPr>
        <w:spacing w:line="360" w:lineRule="auto"/>
        <w:rPr>
          <w:b/>
          <w:bCs/>
          <w:sz w:val="24"/>
          <w:szCs w:val="24"/>
        </w:rPr>
      </w:pPr>
      <w:r>
        <w:rPr>
          <w:rFonts w:hint="eastAsia"/>
          <w:b/>
          <w:bCs/>
          <w:sz w:val="24"/>
          <w:szCs w:val="24"/>
        </w:rPr>
        <w:t>3</w:t>
      </w:r>
      <w:r>
        <w:rPr>
          <w:rFonts w:hint="eastAsia"/>
          <w:b/>
          <w:bCs/>
          <w:sz w:val="24"/>
          <w:szCs w:val="24"/>
        </w:rPr>
        <w:t>、</w:t>
      </w:r>
      <w:r w:rsidRPr="00B82795">
        <w:rPr>
          <w:rFonts w:hint="eastAsia"/>
          <w:b/>
          <w:bCs/>
          <w:sz w:val="24"/>
          <w:szCs w:val="24"/>
        </w:rPr>
        <w:t>已知消费者用于消费商品</w:t>
      </w:r>
      <w:r w:rsidRPr="00B82795">
        <w:rPr>
          <w:b/>
          <w:bCs/>
          <w:position w:val="-10"/>
          <w:sz w:val="24"/>
          <w:szCs w:val="24"/>
        </w:rPr>
        <w:object w:dxaOrig="240" w:dyaOrig="340" w14:anchorId="7A169C6F">
          <v:shape id="_x0000_i1026" type="#_x0000_t75" style="width:12.75pt;height:17.25pt" o:ole="">
            <v:imagedata r:id="rId9" o:title=""/>
          </v:shape>
          <o:OLEObject Type="Embed" ProgID="Equation.3" ShapeID="_x0000_i1026" DrawAspect="Content" ObjectID="_1789216059" r:id="rId10"/>
        </w:object>
      </w:r>
      <w:r w:rsidRPr="00B82795">
        <w:rPr>
          <w:rFonts w:hint="eastAsia"/>
          <w:b/>
          <w:bCs/>
          <w:sz w:val="24"/>
          <w:szCs w:val="24"/>
        </w:rPr>
        <w:t>和</w:t>
      </w:r>
      <w:r w:rsidRPr="00B82795">
        <w:rPr>
          <w:b/>
          <w:bCs/>
          <w:position w:val="-10"/>
          <w:sz w:val="24"/>
          <w:szCs w:val="24"/>
        </w:rPr>
        <w:object w:dxaOrig="279" w:dyaOrig="340" w14:anchorId="507C40BD">
          <v:shape id="_x0000_i1027" type="#_x0000_t75" style="width:14.25pt;height:17.25pt" o:ole="">
            <v:imagedata r:id="rId11" o:title=""/>
          </v:shape>
          <o:OLEObject Type="Embed" ProgID="Equation.3" ShapeID="_x0000_i1027" DrawAspect="Content" ObjectID="_1789216060" r:id="rId12"/>
        </w:object>
      </w:r>
      <w:r w:rsidRPr="00B82795">
        <w:rPr>
          <w:rFonts w:hint="eastAsia"/>
          <w:b/>
          <w:bCs/>
          <w:sz w:val="24"/>
          <w:szCs w:val="24"/>
        </w:rPr>
        <w:t>全部收入为</w:t>
      </w:r>
      <w:r w:rsidRPr="00B82795">
        <w:rPr>
          <w:rFonts w:hint="eastAsia"/>
          <w:b/>
          <w:bCs/>
          <w:sz w:val="24"/>
          <w:szCs w:val="24"/>
        </w:rPr>
        <w:t>540</w:t>
      </w:r>
      <w:r w:rsidRPr="00B82795">
        <w:rPr>
          <w:rFonts w:hint="eastAsia"/>
          <w:b/>
          <w:bCs/>
          <w:sz w:val="24"/>
          <w:szCs w:val="24"/>
        </w:rPr>
        <w:t>，两种商品的价格分别为</w:t>
      </w:r>
      <w:r w:rsidRPr="00B82795">
        <w:rPr>
          <w:b/>
          <w:bCs/>
          <w:position w:val="-10"/>
          <w:sz w:val="24"/>
          <w:szCs w:val="24"/>
        </w:rPr>
        <w:object w:dxaOrig="780" w:dyaOrig="340" w14:anchorId="49CC7A96">
          <v:shape id="_x0000_i1028" type="#_x0000_t75" style="width:39pt;height:17.25pt" o:ole="">
            <v:imagedata r:id="rId13" o:title=""/>
          </v:shape>
          <o:OLEObject Type="Embed" ProgID="Equation.3" ShapeID="_x0000_i1028" DrawAspect="Content" ObjectID="_1789216061" r:id="rId14"/>
        </w:object>
      </w:r>
      <w:r w:rsidRPr="00B82795">
        <w:rPr>
          <w:rFonts w:hint="eastAsia"/>
          <w:b/>
          <w:bCs/>
          <w:sz w:val="24"/>
          <w:szCs w:val="24"/>
        </w:rPr>
        <w:t>，</w:t>
      </w:r>
      <w:r w:rsidRPr="00B82795">
        <w:rPr>
          <w:b/>
          <w:bCs/>
          <w:position w:val="-10"/>
          <w:sz w:val="24"/>
          <w:szCs w:val="24"/>
        </w:rPr>
        <w:object w:dxaOrig="800" w:dyaOrig="340" w14:anchorId="4487A3DC">
          <v:shape id="_x0000_i1029" type="#_x0000_t75" style="width:39.75pt;height:17.25pt" o:ole="">
            <v:imagedata r:id="rId15" o:title=""/>
          </v:shape>
          <o:OLEObject Type="Embed" ProgID="Equation.3" ShapeID="_x0000_i1029" DrawAspect="Content" ObjectID="_1789216062" r:id="rId16"/>
        </w:object>
      </w:r>
      <w:r w:rsidRPr="00B82795">
        <w:rPr>
          <w:rFonts w:hint="eastAsia"/>
          <w:b/>
          <w:bCs/>
          <w:sz w:val="24"/>
          <w:szCs w:val="24"/>
        </w:rPr>
        <w:t>，该消费者的效用函数为</w:t>
      </w:r>
      <w:r w:rsidRPr="00B82795">
        <w:rPr>
          <w:b/>
          <w:bCs/>
          <w:position w:val="-10"/>
          <w:sz w:val="24"/>
          <w:szCs w:val="24"/>
        </w:rPr>
        <w:object w:dxaOrig="1180" w:dyaOrig="360" w14:anchorId="22A600D2">
          <v:shape id="_x0000_i1030" type="#_x0000_t75" style="width:59.25pt;height:18.75pt" o:ole="">
            <v:imagedata r:id="rId17" o:title=""/>
          </v:shape>
          <o:OLEObject Type="Embed" ProgID="Equation.3" ShapeID="_x0000_i1030" DrawAspect="Content" ObjectID="_1789216063" r:id="rId18"/>
        </w:object>
      </w:r>
      <w:r w:rsidRPr="00B82795">
        <w:rPr>
          <w:rFonts w:hint="eastAsia"/>
          <w:b/>
          <w:bCs/>
          <w:sz w:val="24"/>
          <w:szCs w:val="24"/>
        </w:rPr>
        <w:t>。</w:t>
      </w:r>
      <w:r w:rsidRPr="00B82795">
        <w:rPr>
          <w:rFonts w:hint="eastAsia"/>
          <w:b/>
          <w:bCs/>
          <w:color w:val="000000" w:themeColor="text1"/>
          <w:sz w:val="24"/>
          <w:szCs w:val="24"/>
        </w:rPr>
        <w:t>（</w:t>
      </w:r>
      <w:r w:rsidRPr="00B82795">
        <w:rPr>
          <w:rFonts w:hint="eastAsia"/>
          <w:b/>
          <w:bCs/>
          <w:color w:val="000000" w:themeColor="text1"/>
          <w:sz w:val="24"/>
          <w:szCs w:val="24"/>
        </w:rPr>
        <w:t>15</w:t>
      </w:r>
      <w:r w:rsidRPr="00B82795">
        <w:rPr>
          <w:rFonts w:hint="eastAsia"/>
          <w:b/>
          <w:bCs/>
          <w:color w:val="000000" w:themeColor="text1"/>
          <w:sz w:val="24"/>
          <w:szCs w:val="24"/>
        </w:rPr>
        <w:t>分）</w:t>
      </w:r>
    </w:p>
    <w:p w14:paraId="6722D4D1" w14:textId="77777777" w:rsidR="00310D75" w:rsidRPr="00B82795" w:rsidRDefault="00310D75" w:rsidP="00310D75">
      <w:pPr>
        <w:spacing w:line="360" w:lineRule="auto"/>
        <w:rPr>
          <w:b/>
          <w:bCs/>
          <w:sz w:val="24"/>
          <w:szCs w:val="24"/>
        </w:rPr>
      </w:pPr>
      <w:r w:rsidRPr="00B82795">
        <w:rPr>
          <w:rFonts w:hint="eastAsia"/>
          <w:b/>
          <w:bCs/>
          <w:sz w:val="24"/>
          <w:szCs w:val="24"/>
        </w:rPr>
        <w:t>请回答如下问题：</w:t>
      </w:r>
    </w:p>
    <w:p w14:paraId="3E4B3F33" w14:textId="77777777" w:rsidR="00310D75" w:rsidRPr="00B82795" w:rsidRDefault="00310D75" w:rsidP="00310D75">
      <w:pPr>
        <w:spacing w:line="360" w:lineRule="auto"/>
        <w:rPr>
          <w:b/>
          <w:bCs/>
          <w:sz w:val="24"/>
          <w:szCs w:val="24"/>
        </w:rPr>
      </w:pPr>
      <w:r w:rsidRPr="00B82795">
        <w:rPr>
          <w:rFonts w:hint="eastAsia"/>
          <w:b/>
          <w:bCs/>
          <w:sz w:val="24"/>
          <w:szCs w:val="24"/>
        </w:rPr>
        <w:lastRenderedPageBreak/>
        <w:t>（</w:t>
      </w:r>
      <w:r w:rsidRPr="00B82795">
        <w:rPr>
          <w:rFonts w:hint="eastAsia"/>
          <w:b/>
          <w:bCs/>
          <w:sz w:val="24"/>
          <w:szCs w:val="24"/>
        </w:rPr>
        <w:t>1</w:t>
      </w:r>
      <w:r w:rsidRPr="00B82795">
        <w:rPr>
          <w:rFonts w:hint="eastAsia"/>
          <w:b/>
          <w:bCs/>
          <w:sz w:val="24"/>
          <w:szCs w:val="24"/>
        </w:rPr>
        <w:t>）该消费者的最优商品购买数量分别是多少？</w:t>
      </w:r>
    </w:p>
    <w:p w14:paraId="7505F73D" w14:textId="5EC62743" w:rsidR="00310D75" w:rsidRPr="00310D75" w:rsidRDefault="00310D75" w:rsidP="00310D75">
      <w:pPr>
        <w:spacing w:line="360" w:lineRule="auto"/>
        <w:rPr>
          <w:b/>
          <w:bCs/>
          <w:sz w:val="24"/>
          <w:szCs w:val="24"/>
        </w:rPr>
      </w:pPr>
      <w:r w:rsidRPr="00B82795">
        <w:rPr>
          <w:rFonts w:hint="eastAsia"/>
          <w:b/>
          <w:bCs/>
          <w:sz w:val="24"/>
          <w:szCs w:val="24"/>
        </w:rPr>
        <w:t>（</w:t>
      </w:r>
      <w:r w:rsidRPr="00B82795">
        <w:rPr>
          <w:rFonts w:hint="eastAsia"/>
          <w:b/>
          <w:bCs/>
          <w:sz w:val="24"/>
          <w:szCs w:val="24"/>
        </w:rPr>
        <w:t>2</w:t>
      </w:r>
      <w:r w:rsidRPr="00B82795">
        <w:rPr>
          <w:rFonts w:hint="eastAsia"/>
          <w:b/>
          <w:bCs/>
          <w:sz w:val="24"/>
          <w:szCs w:val="24"/>
        </w:rPr>
        <w:t>）该消费者购买最优商品组合时所得到的效用是多少？</w:t>
      </w:r>
    </w:p>
    <w:p w14:paraId="00EAD434" w14:textId="77777777" w:rsidR="00310D75" w:rsidRDefault="00310D75" w:rsidP="00310D75">
      <w:pPr>
        <w:spacing w:line="360" w:lineRule="auto"/>
        <w:rPr>
          <w:sz w:val="24"/>
          <w:szCs w:val="24"/>
        </w:rPr>
      </w:pPr>
      <w:r w:rsidRPr="00B82795">
        <w:rPr>
          <w:rFonts w:hint="eastAsia"/>
          <w:color w:val="000000" w:themeColor="text1"/>
          <w:sz w:val="24"/>
          <w:szCs w:val="24"/>
        </w:rPr>
        <w:t>（</w:t>
      </w:r>
      <w:r w:rsidRPr="00B82795">
        <w:rPr>
          <w:rFonts w:hint="eastAsia"/>
          <w:color w:val="000000" w:themeColor="text1"/>
          <w:sz w:val="24"/>
          <w:szCs w:val="24"/>
        </w:rPr>
        <w:t>1</w:t>
      </w:r>
      <w:r w:rsidRPr="00B82795">
        <w:rPr>
          <w:rFonts w:hint="eastAsia"/>
          <w:color w:val="000000" w:themeColor="text1"/>
          <w:sz w:val="24"/>
          <w:szCs w:val="24"/>
        </w:rPr>
        <w:t>）根据已知条件得到两种商品的边际效用函数为：</w:t>
      </w:r>
      <w:r w:rsidRPr="00B82795">
        <w:rPr>
          <w:position w:val="-12"/>
          <w:sz w:val="24"/>
          <w:szCs w:val="24"/>
        </w:rPr>
        <w:object w:dxaOrig="1180" w:dyaOrig="380" w14:anchorId="557A4038">
          <v:shape id="_x0000_i1031" type="#_x0000_t75" style="width:59.25pt;height:18.75pt" o:ole="">
            <v:imagedata r:id="rId19" o:title=""/>
          </v:shape>
          <o:OLEObject Type="Embed" ProgID="Equation.DSMT4" ShapeID="_x0000_i1031" DrawAspect="Content" ObjectID="_1789216064" r:id="rId20"/>
        </w:object>
      </w:r>
      <w:r w:rsidRPr="00B82795">
        <w:rPr>
          <w:rFonts w:hint="eastAsia"/>
          <w:sz w:val="24"/>
          <w:szCs w:val="24"/>
        </w:rPr>
        <w:t>，</w:t>
      </w:r>
      <w:r w:rsidRPr="00B82795">
        <w:rPr>
          <w:position w:val="-12"/>
          <w:sz w:val="24"/>
          <w:szCs w:val="24"/>
        </w:rPr>
        <w:object w:dxaOrig="1440" w:dyaOrig="360" w14:anchorId="4DFE8C92">
          <v:shape id="_x0000_i1032" type="#_x0000_t75" style="width:1in;height:18.75pt" o:ole="">
            <v:imagedata r:id="rId21" o:title=""/>
          </v:shape>
          <o:OLEObject Type="Embed" ProgID="Equation.DSMT4" ShapeID="_x0000_i1032" DrawAspect="Content" ObjectID="_1789216065" r:id="rId22"/>
        </w:object>
      </w:r>
      <w:r>
        <w:rPr>
          <w:rFonts w:hint="eastAsia"/>
          <w:sz w:val="24"/>
          <w:szCs w:val="24"/>
        </w:rPr>
        <w:t>。</w:t>
      </w:r>
      <w:r w:rsidRPr="00B82795">
        <w:rPr>
          <w:rFonts w:hint="eastAsia"/>
          <w:color w:val="000000" w:themeColor="text1"/>
          <w:sz w:val="24"/>
          <w:szCs w:val="24"/>
        </w:rPr>
        <w:t>根据消费者最优的条件，边际效用之比等于商品价格之比</w:t>
      </w:r>
      <w:r w:rsidRPr="00B82795">
        <w:rPr>
          <w:position w:val="-30"/>
          <w:sz w:val="24"/>
          <w:szCs w:val="24"/>
        </w:rPr>
        <w:object w:dxaOrig="2060" w:dyaOrig="720" w14:anchorId="396389EB">
          <v:shape id="_x0000_i1033" type="#_x0000_t75" style="width:102.75pt;height:36pt" o:ole="">
            <v:imagedata r:id="rId23" o:title=""/>
          </v:shape>
          <o:OLEObject Type="Embed" ProgID="Equation.DSMT4" ShapeID="_x0000_i1033" DrawAspect="Content" ObjectID="_1789216066" r:id="rId24"/>
        </w:object>
      </w:r>
      <w:r w:rsidRPr="00B82795">
        <w:rPr>
          <w:rFonts w:hint="eastAsia"/>
          <w:sz w:val="24"/>
          <w:szCs w:val="24"/>
        </w:rPr>
        <w:t>，</w:t>
      </w:r>
      <w:r w:rsidRPr="00B82795">
        <w:rPr>
          <w:rFonts w:hint="eastAsia"/>
          <w:color w:val="000000" w:themeColor="text1"/>
          <w:sz w:val="24"/>
          <w:szCs w:val="24"/>
        </w:rPr>
        <w:t>得到：</w:t>
      </w:r>
      <w:r w:rsidRPr="00B82795">
        <w:rPr>
          <w:position w:val="-24"/>
          <w:sz w:val="24"/>
          <w:szCs w:val="24"/>
        </w:rPr>
        <w:object w:dxaOrig="1020" w:dyaOrig="620" w14:anchorId="3AAEBDC9">
          <v:shape id="_x0000_i1034" type="#_x0000_t75" style="width:51pt;height:31.5pt" o:ole="">
            <v:imagedata r:id="rId25" o:title=""/>
          </v:shape>
          <o:OLEObject Type="Embed" ProgID="Equation.DSMT4" ShapeID="_x0000_i1034" DrawAspect="Content" ObjectID="_1789216067" r:id="rId26"/>
        </w:object>
      </w:r>
      <w:r>
        <w:rPr>
          <w:rFonts w:hint="eastAsia"/>
          <w:sz w:val="24"/>
          <w:szCs w:val="24"/>
        </w:rPr>
        <w:t>。</w:t>
      </w:r>
      <w:r w:rsidRPr="00B82795">
        <w:rPr>
          <w:rFonts w:hint="eastAsia"/>
          <w:sz w:val="24"/>
          <w:szCs w:val="24"/>
        </w:rPr>
        <w:t>代入到预算约束</w:t>
      </w:r>
      <w:r w:rsidRPr="00B82795">
        <w:rPr>
          <w:position w:val="-12"/>
          <w:sz w:val="24"/>
          <w:szCs w:val="24"/>
        </w:rPr>
        <w:object w:dxaOrig="1880" w:dyaOrig="360" w14:anchorId="5CB39173">
          <v:shape id="_x0000_i1035" type="#_x0000_t75" style="width:94.5pt;height:18.75pt" o:ole="">
            <v:imagedata r:id="rId27" o:title=""/>
          </v:shape>
          <o:OLEObject Type="Embed" ProgID="Equation.DSMT4" ShapeID="_x0000_i1035" DrawAspect="Content" ObjectID="_1789216068" r:id="rId28"/>
        </w:object>
      </w:r>
      <w:r w:rsidRPr="00B82795">
        <w:rPr>
          <w:rFonts w:hint="eastAsia"/>
          <w:sz w:val="24"/>
          <w:szCs w:val="24"/>
        </w:rPr>
        <w:t>中，得到消费者的最优</w:t>
      </w:r>
      <w:r>
        <w:rPr>
          <w:rFonts w:hint="eastAsia"/>
          <w:sz w:val="24"/>
          <w:szCs w:val="24"/>
        </w:rPr>
        <w:t>商品购买量分别为：</w:t>
      </w:r>
      <w:r w:rsidRPr="005C3DEE">
        <w:rPr>
          <w:position w:val="-12"/>
        </w:rPr>
        <w:object w:dxaOrig="720" w:dyaOrig="380" w14:anchorId="6FDFC2EA">
          <v:shape id="_x0000_i1036" type="#_x0000_t75" style="width:36pt;height:18.75pt" o:ole="">
            <v:imagedata r:id="rId29" o:title=""/>
          </v:shape>
          <o:OLEObject Type="Embed" ProgID="Equation.DSMT4" ShapeID="_x0000_i1036" DrawAspect="Content" ObjectID="_1789216069" r:id="rId30"/>
        </w:object>
      </w:r>
      <w:r>
        <w:rPr>
          <w:rFonts w:hint="eastAsia"/>
        </w:rPr>
        <w:t>，</w:t>
      </w:r>
      <w:r w:rsidRPr="005C3DEE">
        <w:rPr>
          <w:position w:val="-12"/>
        </w:rPr>
        <w:object w:dxaOrig="820" w:dyaOrig="380" w14:anchorId="7645788D">
          <v:shape id="_x0000_i1037" type="#_x0000_t75" style="width:41.25pt;height:18.75pt" o:ole="">
            <v:imagedata r:id="rId31" o:title=""/>
          </v:shape>
          <o:OLEObject Type="Embed" ProgID="Equation.DSMT4" ShapeID="_x0000_i1037" DrawAspect="Content" ObjectID="_1789216070" r:id="rId32"/>
        </w:object>
      </w:r>
      <w:r>
        <w:rPr>
          <w:rFonts w:hint="eastAsia"/>
        </w:rPr>
        <w:t>。</w:t>
      </w:r>
    </w:p>
    <w:p w14:paraId="4BDB77E0" w14:textId="77777777" w:rsidR="00310D75" w:rsidRPr="00B82795" w:rsidRDefault="00310D75" w:rsidP="00310D75">
      <w:pPr>
        <w:spacing w:line="360" w:lineRule="auto"/>
        <w:rPr>
          <w:color w:val="000000" w:themeColor="text1"/>
          <w:sz w:val="24"/>
          <w:szCs w:val="24"/>
        </w:rPr>
      </w:pPr>
      <w:r>
        <w:rPr>
          <w:rFonts w:hint="eastAsia"/>
          <w:sz w:val="24"/>
          <w:szCs w:val="24"/>
        </w:rPr>
        <w:t>（</w:t>
      </w:r>
      <w:r>
        <w:rPr>
          <w:rFonts w:hint="eastAsia"/>
          <w:sz w:val="24"/>
          <w:szCs w:val="24"/>
        </w:rPr>
        <w:t>2</w:t>
      </w:r>
      <w:r>
        <w:rPr>
          <w:rFonts w:hint="eastAsia"/>
          <w:sz w:val="24"/>
          <w:szCs w:val="24"/>
        </w:rPr>
        <w:t>）消费者效用为：</w:t>
      </w:r>
      <w:r w:rsidRPr="005C3DEE">
        <w:rPr>
          <w:position w:val="-14"/>
        </w:rPr>
        <w:object w:dxaOrig="2380" w:dyaOrig="440" w14:anchorId="622EA8A4">
          <v:shape id="_x0000_i1038" type="#_x0000_t75" style="width:119.25pt;height:22.5pt" o:ole="">
            <v:imagedata r:id="rId33" o:title=""/>
          </v:shape>
          <o:OLEObject Type="Embed" ProgID="Equation.DSMT4" ShapeID="_x0000_i1038" DrawAspect="Content" ObjectID="_1789216071" r:id="rId34"/>
        </w:object>
      </w:r>
    </w:p>
    <w:p w14:paraId="1A487FCD" w14:textId="77777777" w:rsidR="00C569E1" w:rsidRDefault="00C569E1">
      <w:pPr>
        <w:spacing w:line="300" w:lineRule="auto"/>
        <w:rPr>
          <w:color w:val="000000" w:themeColor="text1"/>
          <w:sz w:val="24"/>
          <w:szCs w:val="24"/>
        </w:rPr>
      </w:pPr>
    </w:p>
    <w:p w14:paraId="6A5B9A43" w14:textId="77777777" w:rsidR="00C569E1" w:rsidRDefault="00A41FB5">
      <w:pPr>
        <w:pStyle w:val="a9"/>
        <w:jc w:val="left"/>
        <w:rPr>
          <w:rFonts w:ascii="宋体" w:eastAsia="宋体" w:hAnsi="宋体"/>
          <w:color w:val="000000" w:themeColor="text1"/>
          <w:sz w:val="24"/>
          <w:szCs w:val="24"/>
        </w:rPr>
      </w:pPr>
      <w:r>
        <w:rPr>
          <w:rFonts w:ascii="宋体" w:eastAsia="宋体" w:hAnsi="宋体" w:hint="eastAsia"/>
          <w:color w:val="000000" w:themeColor="text1"/>
          <w:sz w:val="24"/>
          <w:szCs w:val="24"/>
        </w:rPr>
        <w:t>二、论述题及参考答案</w:t>
      </w:r>
    </w:p>
    <w:p w14:paraId="5739DE6B" w14:textId="77777777" w:rsidR="00C569E1" w:rsidRDefault="00A41FB5">
      <w:pPr>
        <w:spacing w:line="300" w:lineRule="auto"/>
        <w:ind w:firstLineChars="200" w:firstLine="482"/>
        <w:rPr>
          <w:b/>
          <w:bCs/>
          <w:color w:val="000000" w:themeColor="text1"/>
          <w:sz w:val="24"/>
          <w:szCs w:val="24"/>
        </w:rPr>
      </w:pPr>
      <w:r>
        <w:rPr>
          <w:rFonts w:hint="eastAsia"/>
          <w:b/>
          <w:bCs/>
          <w:color w:val="000000" w:themeColor="text1"/>
          <w:sz w:val="24"/>
          <w:szCs w:val="24"/>
        </w:rPr>
        <w:t>1</w:t>
      </w:r>
      <w:r>
        <w:rPr>
          <w:rFonts w:hint="eastAsia"/>
          <w:b/>
          <w:bCs/>
          <w:color w:val="000000" w:themeColor="text1"/>
          <w:sz w:val="24"/>
          <w:szCs w:val="24"/>
        </w:rPr>
        <w:t>、阐述汇率变动对一国的国际收支和短期经济增长可能产生的影响。（</w:t>
      </w:r>
      <w:r>
        <w:rPr>
          <w:rFonts w:hint="eastAsia"/>
          <w:b/>
          <w:bCs/>
          <w:color w:val="000000" w:themeColor="text1"/>
          <w:sz w:val="24"/>
          <w:szCs w:val="24"/>
        </w:rPr>
        <w:t>30</w:t>
      </w:r>
      <w:r>
        <w:rPr>
          <w:rFonts w:hint="eastAsia"/>
          <w:b/>
          <w:bCs/>
          <w:color w:val="000000" w:themeColor="text1"/>
          <w:sz w:val="24"/>
          <w:szCs w:val="24"/>
        </w:rPr>
        <w:t>分）</w:t>
      </w:r>
    </w:p>
    <w:p w14:paraId="6216A628"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汇率对国际收支的影响表现在两个方面，一是对经常项目的影响，二是对资本项目的影响。</w:t>
      </w:r>
    </w:p>
    <w:p w14:paraId="19F12CF7"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如果略去经常项目中所占比例较小的单边转移支付，汇率对经常项目的影响表现在：如果汇率下跌，即本币贬值，本国产品在世界市场上的价格就会下降，而外国产品在本国市场的价格则会上升。显然，这将有利于增加本国产品的出口，而不利于增加外国产品的进口。在此情况下，对外贸易就可能出现顺差，经常项目就可能出现盈余，至少出口的增加会减少外贸逆差和经常项目的赤字。反之，如果汇率上升，即本币升值，对外贸易就可能出现逆差，经常项目就可能出现赤字，至少这会减少外贸顺差和经常项目盈余。</w:t>
      </w:r>
    </w:p>
    <w:p w14:paraId="5456D0CD"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汇率的变动对经常项目的影响存在一个时滞。因为在汇率变动后的一段时间内，外贸公司都是按照以前签订的合同执行进出口产品价格的，故其对经常项目的影响要过一段时间后才能显现出来。宏观经济学通常用</w:t>
      </w:r>
      <w:r>
        <w:rPr>
          <w:rFonts w:hint="eastAsia"/>
          <w:color w:val="000000" w:themeColor="text1"/>
          <w:sz w:val="24"/>
          <w:szCs w:val="24"/>
        </w:rPr>
        <w:t>J</w:t>
      </w:r>
      <w:r>
        <w:rPr>
          <w:rFonts w:hint="eastAsia"/>
          <w:color w:val="000000" w:themeColor="text1"/>
          <w:sz w:val="24"/>
          <w:szCs w:val="24"/>
        </w:rPr>
        <w:t>曲线效应来表示两者的关系。</w:t>
      </w:r>
    </w:p>
    <w:p w14:paraId="219536D8"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与经常项目不同，一般而言，汇率的变动对资本项目中的长期资本流动不会产生实质性的影响或者说影响不大。因为长期资本流入一个国家或从一个国家流出，主要取决于在该国的投资风险和盈利水平，而不是主要地取决于汇率。然而，汇率的变动对短期资本的流动会产生重要的影响，因为短期资本的流动性较强。如果预期某一国家的汇率下跌，即预期该国的货币贬值，由于会导致金融资产的相对价值下降，资本的持有者为避免损失，就会在外汇市场上把该国的货币兑换</w:t>
      </w:r>
      <w:r>
        <w:rPr>
          <w:rFonts w:hint="eastAsia"/>
          <w:color w:val="000000" w:themeColor="text1"/>
          <w:sz w:val="24"/>
          <w:szCs w:val="24"/>
        </w:rPr>
        <w:lastRenderedPageBreak/>
        <w:t>成坚挺的外币，从而出现资本抽逃的现象，大量的短期资本就会外流；反之，如果预期该国的汇率上升，即货币升值，短期资本就会大量流入到该国。可见，汇率的变动会通过短期资本的流动影响资本项目的平衡，进而影响一国的国际收支平衡。</w:t>
      </w:r>
    </w:p>
    <w:p w14:paraId="7465C54C"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在供给水平既定的条件下，一国的短期经济增长是由总需求决定的。在总需求中，政府支出不是用于消费，就是用于投资，因此，经济增长是由消费需求、投资需求、出口需求（来自国外的需求）拉动的。汇率的变动对短期经济增长的影响一般表现为，如果一国的本币贬值，通常会刺激本国的出口，从而增加总需求，总需求的增加又会导致国民收入的增长；反之，如果一国本币升值，由于产品在国际市场会变得更加昂贵，通常会减少本国的出口，从而减少总需求和总产出，使经济增速放缓。</w:t>
      </w:r>
    </w:p>
    <w:p w14:paraId="7F4EE3B9" w14:textId="77777777" w:rsidR="00C569E1" w:rsidRDefault="00A41FB5">
      <w:pPr>
        <w:spacing w:line="300" w:lineRule="auto"/>
        <w:ind w:firstLineChars="200" w:firstLine="480"/>
        <w:rPr>
          <w:color w:val="000000" w:themeColor="text1"/>
          <w:sz w:val="24"/>
          <w:szCs w:val="24"/>
        </w:rPr>
      </w:pPr>
      <w:r>
        <w:rPr>
          <w:rFonts w:hint="eastAsia"/>
          <w:color w:val="000000" w:themeColor="text1"/>
          <w:sz w:val="24"/>
          <w:szCs w:val="24"/>
        </w:rPr>
        <w:t>汇率变动对一国国际收支和短期经济增长的影响，还取决于一国的市场化程度、开放程度、货币的国际化程度、进口和出口在国民收入中的份额等因素。在不同的条件下，其影响的程度也是不同的。</w:t>
      </w:r>
    </w:p>
    <w:p w14:paraId="10833ECC" w14:textId="77777777" w:rsidR="00C569E1" w:rsidRDefault="00C569E1">
      <w:pPr>
        <w:spacing w:line="300" w:lineRule="auto"/>
        <w:rPr>
          <w:color w:val="000000" w:themeColor="text1"/>
          <w:sz w:val="24"/>
          <w:szCs w:val="24"/>
        </w:rPr>
      </w:pPr>
    </w:p>
    <w:p w14:paraId="160CE510" w14:textId="77777777" w:rsidR="00C569E1" w:rsidRDefault="00A41FB5">
      <w:pPr>
        <w:spacing w:line="300" w:lineRule="auto"/>
        <w:ind w:firstLineChars="200" w:firstLine="482"/>
        <w:rPr>
          <w:b/>
          <w:bCs/>
          <w:color w:val="000000" w:themeColor="text1"/>
          <w:sz w:val="24"/>
          <w:szCs w:val="24"/>
        </w:rPr>
      </w:pPr>
      <w:r>
        <w:rPr>
          <w:rFonts w:hint="eastAsia"/>
          <w:b/>
          <w:bCs/>
          <w:color w:val="000000" w:themeColor="text1"/>
          <w:sz w:val="24"/>
          <w:szCs w:val="24"/>
        </w:rPr>
        <w:t>2</w:t>
      </w:r>
      <w:r>
        <w:rPr>
          <w:rFonts w:hint="eastAsia"/>
          <w:b/>
          <w:bCs/>
          <w:color w:val="000000" w:themeColor="text1"/>
          <w:sz w:val="24"/>
          <w:szCs w:val="24"/>
        </w:rPr>
        <w:t>、论述宏观经济政策效应的国际传导。分析美国第三轮量化宽松货币政策（</w:t>
      </w:r>
      <w:r>
        <w:rPr>
          <w:rFonts w:hint="eastAsia"/>
          <w:b/>
          <w:bCs/>
          <w:color w:val="000000" w:themeColor="text1"/>
          <w:sz w:val="24"/>
          <w:szCs w:val="24"/>
        </w:rPr>
        <w:t>QE3</w:t>
      </w:r>
      <w:r>
        <w:rPr>
          <w:rFonts w:hint="eastAsia"/>
          <w:b/>
          <w:bCs/>
          <w:color w:val="000000" w:themeColor="text1"/>
          <w:sz w:val="24"/>
          <w:szCs w:val="24"/>
        </w:rPr>
        <w:t>）对我国经济可能产生的影响。（</w:t>
      </w:r>
      <w:r>
        <w:rPr>
          <w:rFonts w:hint="eastAsia"/>
          <w:b/>
          <w:bCs/>
          <w:color w:val="000000" w:themeColor="text1"/>
          <w:sz w:val="24"/>
          <w:szCs w:val="24"/>
        </w:rPr>
        <w:t>30</w:t>
      </w:r>
      <w:r>
        <w:rPr>
          <w:rFonts w:hint="eastAsia"/>
          <w:b/>
          <w:bCs/>
          <w:color w:val="000000" w:themeColor="text1"/>
          <w:sz w:val="24"/>
          <w:szCs w:val="24"/>
        </w:rPr>
        <w:t>分）</w:t>
      </w:r>
    </w:p>
    <w:p w14:paraId="07BC5F32"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在开放经济条件下，一国经济政策的调整或改变不仅会影响本国的经济运行，同样会影响到其他国家，这就是经济政策效应的国际传导。经济政策效应的国际传导机制包括乘数联系和货币联系。乘数联系是指经济政策效应通过国际贸易的传导而影响到其他国家的经济运行。货币联系是指经济政策效应通过金融市场的传导而影响到其他国家的经济运行。</w:t>
      </w:r>
    </w:p>
    <w:p w14:paraId="609CC679"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在开放经济中，通过贸易和金融两个渠道，一国经济的扩张或收缩会传递到另一国，使其他国家的经济也相应地出现扩张或收缩，而其他国家经济的扩张或收缩又会反过来影响最初经济扩张或收缩的国家。当一国的经济扩张或收缩通过对外贸易和金融市场导致其他国家的经济相应扩张或收缩，所产生的这种效应就是溢出效应。当其他国家的经济出现扩张或收缩以后，又通过对外贸易和金融市场反过来影响最初引发溢出效应的国家的经济运行，使其经济加速扩张或收缩时，这种影响被称之为回振效应或回波效应。</w:t>
      </w:r>
    </w:p>
    <w:p w14:paraId="7976EA78"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美国第三次量化宽松的货币政策，是美国货币当局第三次增加数量确定的基础货币以刺激经济的货币政策。由于美元是国际货币，有可能对我国经济产生如下影响。</w:t>
      </w:r>
    </w:p>
    <w:p w14:paraId="620DE79E"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美元供给的增加会导致大宗商品价格上升，因为国际上大宗商品的价格都是用美元来计价的。大宗商品价格的上升肯定会提高进口这些商品国家的生产成本，进而引发通货膨胀。由于我国是对大宗商品进口依存度较高的国家，因</w:t>
      </w:r>
      <w:r>
        <w:rPr>
          <w:rFonts w:hint="eastAsia"/>
          <w:color w:val="000000" w:themeColor="text1"/>
          <w:sz w:val="24"/>
          <w:szCs w:val="24"/>
        </w:rPr>
        <w:lastRenderedPageBreak/>
        <w:t>此有可能推高我国的物价水平。</w:t>
      </w:r>
    </w:p>
    <w:p w14:paraId="4A7B7323"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美国量化宽松的货币政策还会给其他国家包括我国造成货币升值的压力。因为在其他条件不变的情况下，美国增加货币供给会导致美元贬值，而美元贬值就意味着其他国家的货币升值。这些国家为稳定本国汇率，就不得不增加本币投放以购进美元，这当然也会引发其他国家发生通货膨胀。同时，美元贬值会削弱其他国家产品的国际竞争力，这有利于美国的产品出口，但不利于其他国家包括我国的产品出口，进而影响我国的总需求和经济增长。</w:t>
      </w:r>
    </w:p>
    <w:p w14:paraId="7CFCDE47"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）美国量化宽松的货币政策还会导致投机性资金即所谓“热</w:t>
      </w:r>
      <w:r>
        <w:rPr>
          <w:rFonts w:hint="eastAsia"/>
          <w:color w:val="000000" w:themeColor="text1"/>
          <w:sz w:val="24"/>
          <w:szCs w:val="24"/>
        </w:rPr>
        <w:t xml:space="preserve"> </w:t>
      </w:r>
      <w:r>
        <w:rPr>
          <w:rFonts w:hint="eastAsia"/>
          <w:color w:val="000000" w:themeColor="text1"/>
          <w:sz w:val="24"/>
          <w:szCs w:val="24"/>
        </w:rPr>
        <w:t>钱”在国际间频繁流动，特别是向经济增长速度较快的国家流动。因为经济增长速度较快的国家，为防范通货膨胀，都具有较高的利率水平，同时也存在较多的投机机会。一旦大量的投机性资金流入这些国家，就会冲击资本市场，并有可能引发资产泡沫，从而对这些国家的经济产生不利影响。</w:t>
      </w:r>
    </w:p>
    <w:p w14:paraId="0BE83E76"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w:t>
      </w:r>
      <w:r>
        <w:rPr>
          <w:rFonts w:hint="eastAsia"/>
          <w:color w:val="000000" w:themeColor="text1"/>
          <w:sz w:val="24"/>
          <w:szCs w:val="24"/>
        </w:rPr>
        <w:t>4</w:t>
      </w:r>
      <w:r>
        <w:rPr>
          <w:rFonts w:hint="eastAsia"/>
          <w:color w:val="000000" w:themeColor="text1"/>
          <w:sz w:val="24"/>
          <w:szCs w:val="24"/>
        </w:rPr>
        <w:t>）在我国的巨额外汇储备中，约</w:t>
      </w:r>
      <w:r>
        <w:rPr>
          <w:rFonts w:hint="eastAsia"/>
          <w:color w:val="000000" w:themeColor="text1"/>
          <w:sz w:val="24"/>
          <w:szCs w:val="24"/>
        </w:rPr>
        <w:t>70%</w:t>
      </w:r>
      <w:r>
        <w:rPr>
          <w:rFonts w:hint="eastAsia"/>
          <w:color w:val="000000" w:themeColor="text1"/>
          <w:sz w:val="24"/>
          <w:szCs w:val="24"/>
        </w:rPr>
        <w:t>都是美元储备。伴随美元的贬值，我国作为国家外汇储备规模世界第一的国家，所遭受到的损失也是最惨重的。当然，其他拥有美元外汇储备的国家也遭受不同程度的损失。</w:t>
      </w:r>
    </w:p>
    <w:p w14:paraId="67B0E14C" w14:textId="77777777" w:rsidR="00C569E1" w:rsidRDefault="00A41FB5">
      <w:pPr>
        <w:spacing w:line="300" w:lineRule="auto"/>
        <w:ind w:firstLineChars="200" w:firstLine="480"/>
        <w:rPr>
          <w:b/>
          <w:bCs/>
          <w:color w:val="000000" w:themeColor="text1"/>
          <w:sz w:val="24"/>
          <w:szCs w:val="24"/>
        </w:rPr>
      </w:pPr>
      <w:r>
        <w:rPr>
          <w:rFonts w:hint="eastAsia"/>
          <w:color w:val="000000" w:themeColor="text1"/>
          <w:sz w:val="24"/>
          <w:szCs w:val="24"/>
        </w:rPr>
        <w:t>综上所述，在开放的条件下，宏观经济政策可以在国家之间传导，一国的经济政策可能对其他国家不利，也可能对其他国家有利；反之也是一样。</w:t>
      </w:r>
    </w:p>
    <w:p w14:paraId="07C015CD" w14:textId="77777777" w:rsidR="00C569E1" w:rsidRDefault="00C569E1">
      <w:pPr>
        <w:spacing w:line="300" w:lineRule="auto"/>
        <w:rPr>
          <w:color w:val="000000" w:themeColor="text1"/>
          <w:sz w:val="24"/>
          <w:szCs w:val="24"/>
        </w:rPr>
      </w:pPr>
    </w:p>
    <w:sectPr w:rsidR="00C569E1">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B3E4" w14:textId="77777777" w:rsidR="00C12C5D" w:rsidRDefault="00C12C5D">
      <w:r>
        <w:separator/>
      </w:r>
    </w:p>
  </w:endnote>
  <w:endnote w:type="continuationSeparator" w:id="0">
    <w:p w14:paraId="225B6971" w14:textId="77777777" w:rsidR="00C12C5D" w:rsidRDefault="00C1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28435"/>
      <w:docPartObj>
        <w:docPartGallery w:val="AutoText"/>
      </w:docPartObj>
    </w:sdtPr>
    <w:sdtEndPr/>
    <w:sdtContent>
      <w:sdt>
        <w:sdtPr>
          <w:id w:val="-1705238520"/>
          <w:docPartObj>
            <w:docPartGallery w:val="AutoText"/>
          </w:docPartObj>
        </w:sdtPr>
        <w:sdtEndPr/>
        <w:sdtContent>
          <w:p w14:paraId="5CB5EEAD" w14:textId="77777777" w:rsidR="00C569E1" w:rsidRDefault="00A41FB5">
            <w:pPr>
              <w:pStyle w:val="a5"/>
              <w:jc w:val="center"/>
            </w:pPr>
            <w:r>
              <w:rPr>
                <w:lang w:val="zh-CN"/>
              </w:rPr>
              <w:t xml:space="preserve"> </w:t>
            </w:r>
            <w:r>
              <w:rPr>
                <w:sz w:val="24"/>
                <w:szCs w:val="24"/>
              </w:rPr>
              <w:fldChar w:fldCharType="begin"/>
            </w:r>
            <w:r>
              <w:instrText>PAGE</w:instrText>
            </w:r>
            <w:r>
              <w:rPr>
                <w:sz w:val="24"/>
                <w:szCs w:val="24"/>
              </w:rPr>
              <w:fldChar w:fldCharType="separate"/>
            </w:r>
            <w:r w:rsidR="008B7169">
              <w:rPr>
                <w:noProof/>
              </w:rPr>
              <w:t>1</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8B7169">
              <w:rPr>
                <w:noProof/>
              </w:rPr>
              <w:t>12</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BBC3" w14:textId="77777777" w:rsidR="00C12C5D" w:rsidRDefault="00C12C5D">
      <w:r>
        <w:separator/>
      </w:r>
    </w:p>
  </w:footnote>
  <w:footnote w:type="continuationSeparator" w:id="0">
    <w:p w14:paraId="12F0BF30" w14:textId="77777777" w:rsidR="00C12C5D" w:rsidRDefault="00C12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68E5"/>
    <w:multiLevelType w:val="multilevel"/>
    <w:tmpl w:val="1C4D68E5"/>
    <w:lvl w:ilvl="0">
      <w:start w:val="1"/>
      <w:numFmt w:val="japaneseCounting"/>
      <w:lvlText w:val="第%1节"/>
      <w:lvlJc w:val="left"/>
      <w:pPr>
        <w:ind w:left="1930" w:hanging="97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3MWRlNjI5MjIyNjk1NjI2MjQwNzkwZDYyNzMyYjYifQ=="/>
  </w:docVars>
  <w:rsids>
    <w:rsidRoot w:val="007504EB"/>
    <w:rsid w:val="000158C4"/>
    <w:rsid w:val="00073827"/>
    <w:rsid w:val="000C4B47"/>
    <w:rsid w:val="000D1AB0"/>
    <w:rsid w:val="0015229B"/>
    <w:rsid w:val="001746C8"/>
    <w:rsid w:val="001F34A2"/>
    <w:rsid w:val="00224E13"/>
    <w:rsid w:val="00231E44"/>
    <w:rsid w:val="002A5D80"/>
    <w:rsid w:val="002B05A5"/>
    <w:rsid w:val="002E3DB5"/>
    <w:rsid w:val="002F7FDD"/>
    <w:rsid w:val="00310D75"/>
    <w:rsid w:val="003A733C"/>
    <w:rsid w:val="003C5BD6"/>
    <w:rsid w:val="004523EB"/>
    <w:rsid w:val="00453AB6"/>
    <w:rsid w:val="00457E10"/>
    <w:rsid w:val="0046232D"/>
    <w:rsid w:val="00463D7F"/>
    <w:rsid w:val="00480550"/>
    <w:rsid w:val="004832E7"/>
    <w:rsid w:val="004A1E9A"/>
    <w:rsid w:val="00587FF6"/>
    <w:rsid w:val="00621402"/>
    <w:rsid w:val="006823EC"/>
    <w:rsid w:val="00707D32"/>
    <w:rsid w:val="007504EB"/>
    <w:rsid w:val="007F3234"/>
    <w:rsid w:val="008640F3"/>
    <w:rsid w:val="00866206"/>
    <w:rsid w:val="008B7169"/>
    <w:rsid w:val="008D5DAF"/>
    <w:rsid w:val="00950FF5"/>
    <w:rsid w:val="009C37ED"/>
    <w:rsid w:val="00A02A27"/>
    <w:rsid w:val="00A369D7"/>
    <w:rsid w:val="00A41FB5"/>
    <w:rsid w:val="00AF1C32"/>
    <w:rsid w:val="00B05061"/>
    <w:rsid w:val="00B31B3F"/>
    <w:rsid w:val="00B85CED"/>
    <w:rsid w:val="00C12C5D"/>
    <w:rsid w:val="00C275A6"/>
    <w:rsid w:val="00C569E1"/>
    <w:rsid w:val="00C66F68"/>
    <w:rsid w:val="00C901D1"/>
    <w:rsid w:val="00CF61F8"/>
    <w:rsid w:val="00D41E75"/>
    <w:rsid w:val="00D70B4A"/>
    <w:rsid w:val="00D9459A"/>
    <w:rsid w:val="00DF38EA"/>
    <w:rsid w:val="00DF5C98"/>
    <w:rsid w:val="00E90703"/>
    <w:rsid w:val="00F042B7"/>
    <w:rsid w:val="00F56F30"/>
    <w:rsid w:val="00F65C29"/>
    <w:rsid w:val="00F73781"/>
    <w:rsid w:val="00FA0E35"/>
    <w:rsid w:val="00FD3EA4"/>
    <w:rsid w:val="00FF06DD"/>
    <w:rsid w:val="5230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C35A"/>
  <w15:docId w15:val="{1393D43F-ADDC-4ACB-A482-B6FC05DE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副标题 字符"/>
    <w:basedOn w:val="a0"/>
    <w:link w:val="a9"/>
    <w:uiPriority w:val="11"/>
    <w:rPr>
      <w:rFonts w:asciiTheme="minorHAnsi" w:eastAsiaTheme="minorEastAsia" w:hAnsiTheme="minorHAnsi" w:cstheme="minorBidi"/>
      <w:b/>
      <w:bCs/>
      <w:kern w:val="28"/>
      <w:sz w:val="32"/>
      <w:szCs w:val="32"/>
    </w:rPr>
  </w:style>
  <w:style w:type="paragraph" w:customStyle="1" w:styleId="1">
    <w:name w:val="修订1"/>
    <w:hidden/>
    <w:uiPriority w:val="99"/>
    <w:semiHidden/>
    <w:rPr>
      <w:kern w:val="2"/>
      <w:sz w:val="21"/>
      <w:szCs w:val="22"/>
    </w:rPr>
  </w:style>
  <w:style w:type="paragraph" w:styleId="ad">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Wencui</dc:creator>
  <cp:lastModifiedBy>aoxue song</cp:lastModifiedBy>
  <cp:revision>6</cp:revision>
  <dcterms:created xsi:type="dcterms:W3CDTF">2023-05-29T00:36:00Z</dcterms:created>
  <dcterms:modified xsi:type="dcterms:W3CDTF">2024-09-30T07:41:00Z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6304E0BA75444EFC9949070F5728E4A7</vt:lpwstr>
  </property>
</Properties>
</file>