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tabs>
          <w:tab w:val="left" w:pos="3881"/>
        </w:tabs>
        <w:spacing w:before="17" w:after="0" w:line="240" w:lineRule="auto"/>
        <w:ind w:left="3880" w:right="297" w:hanging="3881"/>
        <w:jc w:val="left"/>
        <w:rPr>
          <w:rFonts w:hint="eastAsia" w:ascii="Microsoft JhengHei" w:eastAsia="Microsoft JhengHei"/>
        </w:rPr>
      </w:pPr>
      <w:r>
        <w:rPr>
          <w:rFonts w:hint="eastAsia" w:ascii="Microsoft JhengHei" w:eastAsia="Microsoft JhengHei"/>
        </w:rPr>
        <w:t>金融学基础</w:t>
      </w:r>
    </w:p>
    <w:p>
      <w:pPr>
        <w:pStyle w:val="3"/>
        <w:spacing w:before="12" w:line="292" w:lineRule="auto"/>
        <w:ind w:left="120" w:right="421" w:firstLine="480"/>
        <w:jc w:val="both"/>
      </w:pPr>
      <w:r>
        <w:t>《金融学基础》分经济学（微观经济学与宏观经济学</w:t>
      </w:r>
      <w:r>
        <w:rPr>
          <w:spacing w:val="-120"/>
        </w:rPr>
        <w:t>）</w:t>
      </w:r>
      <w:r>
        <w:t>、宏观金融（国际金融与货币银行学</w:t>
      </w:r>
      <w:r>
        <w:rPr>
          <w:spacing w:val="-119"/>
        </w:rPr>
        <w:t>）</w:t>
      </w:r>
      <w:r>
        <w:t>、微观金融（投资学与公司金融）三部分，各部分各占比三分之一。</w:t>
      </w:r>
    </w:p>
    <w:p>
      <w:pPr>
        <w:spacing w:before="0" w:line="364" w:lineRule="exact"/>
        <w:ind w:left="602" w:right="0" w:firstLine="0"/>
        <w:jc w:val="left"/>
        <w:rPr>
          <w:rFonts w:hint="eastAsia" w:ascii="微软雅黑" w:eastAsia="微软雅黑"/>
          <w:b/>
          <w:sz w:val="24"/>
        </w:rPr>
      </w:pPr>
      <w:r>
        <w:rPr>
          <w:rFonts w:hint="eastAsia" w:ascii="微软雅黑" w:eastAsia="微软雅黑"/>
          <w:b/>
          <w:sz w:val="24"/>
        </w:rPr>
        <w:t>微观经济学部分：</w:t>
      </w:r>
    </w:p>
    <w:p>
      <w:pPr>
        <w:pStyle w:val="3"/>
        <w:spacing w:before="9" w:line="292" w:lineRule="auto"/>
        <w:ind w:left="120" w:right="418" w:firstLine="480"/>
      </w:pPr>
      <w:r>
        <w:rPr>
          <w:spacing w:val="-3"/>
        </w:rPr>
        <w:t>一、消费者行为：预算约束、消费者偏好与效用函数、消费者最优选择、需</w:t>
      </w:r>
      <w:r>
        <w:t>求、斯勒茨基方程、消费者剩余</w:t>
      </w:r>
    </w:p>
    <w:p>
      <w:pPr>
        <w:pStyle w:val="3"/>
        <w:spacing w:before="0" w:line="306" w:lineRule="exact"/>
        <w:ind w:left="600" w:firstLine="0"/>
      </w:pPr>
      <w:r>
        <w:t>二、不确定性：期望（预期）效用函数、风险规避、风险性资产</w:t>
      </w:r>
    </w:p>
    <w:p>
      <w:pPr>
        <w:pStyle w:val="3"/>
        <w:spacing w:line="292" w:lineRule="auto"/>
        <w:ind w:left="600" w:right="302" w:firstLine="0"/>
      </w:pPr>
      <w:r>
        <w:t>三、生产者行为：技术、成本最小化、成本曲线、利润最大化、企业供给</w:t>
      </w:r>
      <w:r>
        <w:rPr>
          <w:spacing w:val="1"/>
        </w:rPr>
        <w:t xml:space="preserve"> </w:t>
      </w:r>
      <w:r>
        <w:t>四、竞争性市场：市场需求、行业供给、短期均衡、长期均衡、经济租金、</w:t>
      </w:r>
    </w:p>
    <w:p>
      <w:pPr>
        <w:pStyle w:val="3"/>
        <w:spacing w:before="0" w:line="306" w:lineRule="exact"/>
        <w:ind w:left="120" w:firstLine="0"/>
      </w:pPr>
      <w:r>
        <w:t>竞争性市场中的税收与税负转嫁</w:t>
      </w:r>
    </w:p>
    <w:p>
      <w:pPr>
        <w:pStyle w:val="3"/>
        <w:spacing w:line="292" w:lineRule="auto"/>
        <w:ind w:left="120" w:right="417" w:firstLine="480"/>
      </w:pPr>
      <w:r>
        <w:rPr>
          <w:spacing w:val="-3"/>
        </w:rPr>
        <w:t>五、不完全竞争市场：垄断定价、价格歧视、自然垄断、寡头产量竞争、产</w:t>
      </w:r>
      <w:r>
        <w:t>量合谋、产量领导者模型、价格领导者模型</w:t>
      </w:r>
    </w:p>
    <w:p>
      <w:pPr>
        <w:pStyle w:val="3"/>
        <w:spacing w:before="0" w:line="306" w:lineRule="exact"/>
        <w:ind w:left="600" w:firstLine="0"/>
      </w:pPr>
      <w:r>
        <w:t>六、博弈论基础：支付矩阵、纳什均衡、混合策略纳什均衡</w:t>
      </w:r>
    </w:p>
    <w:p>
      <w:pPr>
        <w:pStyle w:val="3"/>
        <w:spacing w:line="292" w:lineRule="auto"/>
        <w:ind w:left="120" w:right="418" w:firstLine="480"/>
      </w:pPr>
      <w:r>
        <w:rPr>
          <w:spacing w:val="-3"/>
        </w:rPr>
        <w:t>七、一般均衡：交换经济均衡、帕累托有效、均衡与效率（福利经济学第一</w:t>
      </w:r>
      <w:r>
        <w:t>定理和福利经济学第二定理）</w:t>
      </w:r>
    </w:p>
    <w:p>
      <w:pPr>
        <w:spacing w:before="5" w:line="232" w:lineRule="auto"/>
        <w:ind w:left="602" w:right="6084" w:hanging="3"/>
        <w:jc w:val="left"/>
        <w:rPr>
          <w:rFonts w:hint="eastAsia" w:ascii="微软雅黑" w:eastAsia="微软雅黑"/>
          <w:b/>
          <w:sz w:val="24"/>
        </w:rPr>
      </w:pPr>
      <w:r>
        <w:rPr>
          <w:spacing w:val="-1"/>
          <w:sz w:val="24"/>
        </w:rPr>
        <w:t>八、外部性与公共品</w:t>
      </w:r>
      <w:r>
        <w:rPr>
          <w:rFonts w:hint="eastAsia" w:ascii="微软雅黑" w:eastAsia="微软雅黑"/>
          <w:b/>
          <w:sz w:val="24"/>
        </w:rPr>
        <w:t>宏观经济学部分：</w:t>
      </w:r>
    </w:p>
    <w:p>
      <w:pPr>
        <w:pStyle w:val="3"/>
        <w:spacing w:before="15" w:line="292" w:lineRule="auto"/>
        <w:ind w:left="600" w:right="4405" w:firstLine="0"/>
      </w:pPr>
      <w:r>
        <w:rPr>
          <w:spacing w:val="-1"/>
        </w:rPr>
        <w:t>一、国民收入核算与国民收入恒等式</w:t>
      </w:r>
      <w:r>
        <w:t>二、</w:t>
      </w:r>
      <w:r>
        <w:rPr>
          <w:rFonts w:ascii="Times New Roman" w:eastAsia="Times New Roman"/>
        </w:rPr>
        <w:t>IS-LM</w:t>
      </w:r>
      <w:r>
        <w:rPr>
          <w:rFonts w:ascii="Times New Roman" w:eastAsia="Times New Roman"/>
          <w:spacing w:val="57"/>
        </w:rPr>
        <w:t xml:space="preserve"> </w:t>
      </w:r>
      <w:r>
        <w:t>模型</w:t>
      </w:r>
    </w:p>
    <w:p>
      <w:pPr>
        <w:pStyle w:val="3"/>
        <w:spacing w:before="0" w:line="292" w:lineRule="auto"/>
        <w:ind w:left="120" w:right="419" w:firstLine="480"/>
      </w:pPr>
      <w:r>
        <w:rPr>
          <w:rFonts w:ascii="Times New Roman" w:eastAsia="Times New Roman"/>
          <w:spacing w:val="-24"/>
        </w:rPr>
        <w:t>1</w:t>
      </w:r>
      <w:r>
        <w:rPr>
          <w:spacing w:val="-7"/>
        </w:rPr>
        <w:t>．收入与支出；</w:t>
      </w:r>
      <w:r>
        <w:rPr>
          <w:rFonts w:ascii="Times New Roman" w:eastAsia="Times New Roman"/>
          <w:spacing w:val="-13"/>
        </w:rPr>
        <w:t>2</w:t>
      </w:r>
      <w:r>
        <w:rPr>
          <w:spacing w:val="-13"/>
        </w:rPr>
        <w:t>．</w:t>
      </w:r>
      <w:r>
        <w:rPr>
          <w:rFonts w:ascii="Times New Roman" w:eastAsia="Times New Roman"/>
          <w:spacing w:val="-13"/>
        </w:rPr>
        <w:t>IS-LM</w:t>
      </w:r>
      <w:r>
        <w:rPr>
          <w:rFonts w:ascii="Times New Roman" w:eastAsia="Times New Roman"/>
          <w:spacing w:val="9"/>
        </w:rPr>
        <w:t xml:space="preserve"> </w:t>
      </w:r>
      <w:r>
        <w:rPr>
          <w:spacing w:val="-5"/>
        </w:rPr>
        <w:t>模型；</w:t>
      </w:r>
      <w:r>
        <w:rPr>
          <w:rFonts w:ascii="Times New Roman" w:eastAsia="Times New Roman"/>
          <w:spacing w:val="-13"/>
        </w:rPr>
        <w:t>3</w:t>
      </w:r>
      <w:r>
        <w:rPr>
          <w:spacing w:val="-13"/>
        </w:rPr>
        <w:t>．</w:t>
      </w:r>
      <w:r>
        <w:rPr>
          <w:rFonts w:ascii="Times New Roman" w:eastAsia="Times New Roman"/>
          <w:spacing w:val="-13"/>
        </w:rPr>
        <w:t>IS-LM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10"/>
        </w:rPr>
        <w:t>模型中的财政、货币政策；</w:t>
      </w:r>
      <w:r>
        <w:rPr>
          <w:rFonts w:ascii="Times New Roman" w:eastAsia="Times New Roman"/>
          <w:spacing w:val="-32"/>
        </w:rPr>
        <w:t>4</w:t>
      </w:r>
      <w:r>
        <w:rPr>
          <w:spacing w:val="-23"/>
        </w:rPr>
        <w:t>．开</w:t>
      </w:r>
      <w:r>
        <w:rPr>
          <w:spacing w:val="-13"/>
        </w:rPr>
        <w:t xml:space="preserve">放经济下 </w:t>
      </w:r>
      <w:r>
        <w:rPr>
          <w:rFonts w:ascii="Times New Roman" w:eastAsia="Times New Roman"/>
        </w:rPr>
        <w:t xml:space="preserve">IS-LM </w:t>
      </w:r>
      <w:r>
        <w:t>模型政策效应分析</w:t>
      </w:r>
    </w:p>
    <w:p>
      <w:pPr>
        <w:pStyle w:val="3"/>
        <w:spacing w:before="0" w:line="306" w:lineRule="exact"/>
        <w:ind w:left="600" w:firstLine="0"/>
      </w:pPr>
      <w:r>
        <w:t>三、总供给与总需求</w:t>
      </w:r>
    </w:p>
    <w:p>
      <w:pPr>
        <w:pStyle w:val="3"/>
        <w:spacing w:before="65" w:line="292" w:lineRule="auto"/>
        <w:ind w:left="600" w:right="3923" w:firstLine="0"/>
      </w:pPr>
      <w:r>
        <w:rPr>
          <w:rFonts w:ascii="Times New Roman" w:eastAsia="Times New Roman"/>
          <w:spacing w:val="-1"/>
        </w:rPr>
        <w:t>1</w:t>
      </w:r>
      <w:r>
        <w:rPr>
          <w:spacing w:val="-1"/>
        </w:rPr>
        <w:t>．总供给与总需求；</w:t>
      </w:r>
      <w:r>
        <w:rPr>
          <w:rFonts w:ascii="Times New Roman" w:eastAsia="Times New Roman"/>
        </w:rPr>
        <w:t>2</w:t>
      </w:r>
      <w:r>
        <w:t>．失业与通货膨胀四、经济增长</w:t>
      </w:r>
    </w:p>
    <w:p>
      <w:pPr>
        <w:pStyle w:val="3"/>
        <w:spacing w:before="0" w:line="292" w:lineRule="auto"/>
        <w:ind w:left="600" w:right="3203" w:firstLine="0"/>
      </w:pPr>
      <w:r>
        <w:rPr>
          <w:rFonts w:ascii="Times New Roman" w:eastAsia="Times New Roman"/>
          <w:spacing w:val="-1"/>
        </w:rPr>
        <w:t>1</w:t>
      </w:r>
      <w:r>
        <w:rPr>
          <w:spacing w:val="-1"/>
        </w:rPr>
        <w:t>．新古典经济增长模型；</w:t>
      </w:r>
      <w:r>
        <w:rPr>
          <w:rFonts w:ascii="Times New Roman" w:eastAsia="Times New Roman"/>
        </w:rPr>
        <w:t>2</w:t>
      </w:r>
      <w:r>
        <w:t>．内生经济增长模型五、消费</w:t>
      </w:r>
    </w:p>
    <w:p>
      <w:pPr>
        <w:pStyle w:val="6"/>
        <w:numPr>
          <w:ilvl w:val="0"/>
          <w:numId w:val="2"/>
        </w:numPr>
        <w:tabs>
          <w:tab w:val="left" w:pos="962"/>
        </w:tabs>
        <w:spacing w:before="0" w:after="0" w:line="306" w:lineRule="exact"/>
        <w:ind w:left="961" w:right="0" w:hanging="362"/>
        <w:jc w:val="left"/>
        <w:rPr>
          <w:sz w:val="24"/>
        </w:rPr>
      </w:pPr>
      <w:r>
        <w:rPr>
          <w:sz w:val="24"/>
        </w:rPr>
        <w:t>持久性收入消费理论</w:t>
      </w:r>
    </w:p>
    <w:p>
      <w:pPr>
        <w:pStyle w:val="6"/>
        <w:numPr>
          <w:ilvl w:val="0"/>
          <w:numId w:val="2"/>
        </w:numPr>
        <w:tabs>
          <w:tab w:val="left" w:pos="962"/>
        </w:tabs>
        <w:spacing w:before="66" w:after="0" w:line="292" w:lineRule="auto"/>
        <w:ind w:left="600" w:right="5244" w:firstLine="0"/>
        <w:jc w:val="left"/>
        <w:rPr>
          <w:sz w:val="24"/>
        </w:rPr>
      </w:pPr>
      <w:r>
        <w:rPr>
          <w:spacing w:val="-1"/>
          <w:sz w:val="24"/>
        </w:rPr>
        <w:t>不确定条件下的消费行为</w:t>
      </w:r>
      <w:r>
        <w:rPr>
          <w:sz w:val="24"/>
        </w:rPr>
        <w:t>六、投资</w:t>
      </w:r>
    </w:p>
    <w:p>
      <w:pPr>
        <w:pStyle w:val="3"/>
        <w:spacing w:before="0" w:line="292" w:lineRule="auto"/>
        <w:ind w:left="600" w:right="4230" w:firstLine="0"/>
      </w:pPr>
      <w:r>
        <w:rPr>
          <w:rFonts w:ascii="Times New Roman" w:eastAsia="Times New Roman"/>
        </w:rPr>
        <w:t>1</w:t>
      </w:r>
      <w:r>
        <w:t>．基本投资理论；</w:t>
      </w:r>
      <w:r>
        <w:rPr>
          <w:rFonts w:ascii="Times New Roman" w:eastAsia="Times New Roman"/>
        </w:rPr>
        <w:t>2</w:t>
      </w:r>
      <w:r>
        <w:rPr>
          <w:spacing w:val="-2"/>
        </w:rPr>
        <w:t xml:space="preserve">．投资的 </w:t>
      </w:r>
      <w:r>
        <w:rPr>
          <w:rFonts w:ascii="Times New Roman" w:eastAsia="Times New Roman"/>
        </w:rPr>
        <w:t>Q</w:t>
      </w:r>
      <w:r>
        <w:rPr>
          <w:rFonts w:ascii="Times New Roman" w:eastAsia="Times New Roman"/>
          <w:spacing w:val="52"/>
        </w:rPr>
        <w:t xml:space="preserve"> </w:t>
      </w:r>
      <w:r>
        <w:t>理论七、经济周期</w:t>
      </w:r>
    </w:p>
    <w:p>
      <w:pPr>
        <w:pStyle w:val="3"/>
        <w:spacing w:before="0" w:line="292" w:lineRule="auto"/>
        <w:ind w:left="600" w:right="1883" w:firstLine="0"/>
      </w:pPr>
      <w:r>
        <w:rPr>
          <w:rFonts w:ascii="Times New Roman" w:eastAsia="Times New Roman"/>
          <w:spacing w:val="-1"/>
        </w:rPr>
        <w:t>1</w:t>
      </w:r>
      <w:r>
        <w:rPr>
          <w:spacing w:val="-1"/>
        </w:rPr>
        <w:t>．价格错觉模型；</w:t>
      </w:r>
      <w:r>
        <w:rPr>
          <w:rFonts w:ascii="Times New Roman" w:eastAsia="Times New Roman"/>
        </w:rPr>
        <w:t>2</w:t>
      </w:r>
      <w:r>
        <w:t>．实际经济周期模型；</w:t>
      </w:r>
      <w:r>
        <w:rPr>
          <w:rFonts w:ascii="Times New Roman" w:eastAsia="Times New Roman"/>
        </w:rPr>
        <w:t>3</w:t>
      </w:r>
      <w:r>
        <w:t>．粘性价格模型八、宏观经济政策争论</w:t>
      </w:r>
    </w:p>
    <w:p>
      <w:pPr>
        <w:pStyle w:val="3"/>
        <w:spacing w:before="0" w:line="306" w:lineRule="exact"/>
        <w:ind w:left="600" w:firstLine="0"/>
      </w:pPr>
      <w:r>
        <w:rPr>
          <w:rFonts w:ascii="Times New Roman" w:eastAsia="Times New Roman"/>
        </w:rPr>
        <w:t>1</w:t>
      </w:r>
      <w:r>
        <w:t>．积极与消极政策；</w:t>
      </w:r>
      <w:r>
        <w:rPr>
          <w:rFonts w:ascii="Times New Roman" w:eastAsia="Times New Roman"/>
        </w:rPr>
        <w:t>2</w:t>
      </w:r>
      <w:r>
        <w:t>．政策时滞与政策效应；</w:t>
      </w:r>
      <w:r>
        <w:rPr>
          <w:rFonts w:ascii="Times New Roman" w:eastAsia="Times New Roman"/>
        </w:rPr>
        <w:t>3</w:t>
      </w:r>
      <w:r>
        <w:t>．规则与相机抉择</w:t>
      </w:r>
    </w:p>
    <w:p>
      <w:pPr>
        <w:spacing w:after="0" w:line="306" w:lineRule="exact"/>
        <w:sectPr>
          <w:headerReference r:id="rId5" w:type="default"/>
          <w:footerReference r:id="rId6" w:type="default"/>
          <w:pgSz w:w="11910" w:h="16840"/>
          <w:pgMar w:top="1360" w:right="1380" w:bottom="1080" w:left="1680" w:header="876" w:footer="882" w:gutter="0"/>
          <w:cols w:space="720" w:num="1"/>
        </w:sectPr>
      </w:pPr>
    </w:p>
    <w:p>
      <w:pPr>
        <w:spacing w:before="19"/>
        <w:ind w:left="602" w:right="0" w:firstLine="0"/>
        <w:jc w:val="left"/>
        <w:rPr>
          <w:rFonts w:hint="eastAsia" w:ascii="微软雅黑" w:eastAsia="微软雅黑"/>
          <w:b/>
          <w:sz w:val="24"/>
        </w:rPr>
      </w:pPr>
      <w:r>
        <w:rPr>
          <w:rFonts w:hint="eastAsia" w:ascii="微软雅黑" w:eastAsia="微软雅黑"/>
          <w:b/>
          <w:sz w:val="24"/>
        </w:rPr>
        <w:t>国际金融部分：</w:t>
      </w:r>
    </w:p>
    <w:p>
      <w:pPr>
        <w:pStyle w:val="3"/>
        <w:spacing w:before="9"/>
        <w:ind w:left="600" w:firstLine="0"/>
      </w:pPr>
      <w:r>
        <w:t>一、国际收支及宏观经济均衡</w:t>
      </w:r>
    </w:p>
    <w:p>
      <w:pPr>
        <w:pStyle w:val="6"/>
        <w:numPr>
          <w:ilvl w:val="0"/>
          <w:numId w:val="3"/>
        </w:numPr>
        <w:tabs>
          <w:tab w:val="left" w:pos="962"/>
        </w:tabs>
        <w:spacing w:before="67" w:after="0" w:line="240" w:lineRule="auto"/>
        <w:ind w:left="961" w:right="0" w:hanging="362"/>
        <w:jc w:val="left"/>
        <w:rPr>
          <w:sz w:val="24"/>
        </w:rPr>
      </w:pPr>
      <w:r>
        <w:rPr>
          <w:sz w:val="24"/>
        </w:rPr>
        <w:t>国际收支的概念、国际收支平衡表的内容、各种国际收支理论</w:t>
      </w:r>
    </w:p>
    <w:p>
      <w:pPr>
        <w:pStyle w:val="6"/>
        <w:numPr>
          <w:ilvl w:val="0"/>
          <w:numId w:val="3"/>
        </w:numPr>
        <w:tabs>
          <w:tab w:val="left" w:pos="963"/>
        </w:tabs>
        <w:spacing w:before="67" w:after="0" w:line="292" w:lineRule="auto"/>
        <w:ind w:left="120" w:right="421" w:firstLine="480"/>
        <w:jc w:val="left"/>
        <w:rPr>
          <w:sz w:val="24"/>
        </w:rPr>
      </w:pPr>
      <w:r>
        <w:rPr>
          <w:sz w:val="24"/>
        </w:rPr>
        <w:t>国际收支分析方法、国际收支性质上的不平衡及其成因、国际收支的自动调节机制</w:t>
      </w:r>
    </w:p>
    <w:p>
      <w:pPr>
        <w:pStyle w:val="6"/>
        <w:numPr>
          <w:ilvl w:val="0"/>
          <w:numId w:val="3"/>
        </w:numPr>
        <w:tabs>
          <w:tab w:val="left" w:pos="962"/>
        </w:tabs>
        <w:spacing w:before="0" w:after="0" w:line="306" w:lineRule="exact"/>
        <w:ind w:left="961" w:right="0" w:hanging="362"/>
        <w:jc w:val="left"/>
        <w:rPr>
          <w:sz w:val="24"/>
        </w:rPr>
      </w:pPr>
      <w:r>
        <w:rPr>
          <w:sz w:val="24"/>
        </w:rPr>
        <w:t>国际收支的弹性论、吸收论、乘数论和货币论</w:t>
      </w:r>
    </w:p>
    <w:p>
      <w:pPr>
        <w:pStyle w:val="6"/>
        <w:numPr>
          <w:ilvl w:val="0"/>
          <w:numId w:val="3"/>
        </w:numPr>
        <w:tabs>
          <w:tab w:val="left" w:pos="962"/>
        </w:tabs>
        <w:spacing w:before="67" w:after="0" w:line="240" w:lineRule="auto"/>
        <w:ind w:left="961" w:right="0" w:hanging="362"/>
        <w:jc w:val="left"/>
        <w:rPr>
          <w:sz w:val="24"/>
        </w:rPr>
      </w:pPr>
      <w:r>
        <w:rPr>
          <w:sz w:val="24"/>
        </w:rPr>
        <w:t>国际收支失衡的政策调节方法及其效能</w:t>
      </w:r>
    </w:p>
    <w:p>
      <w:pPr>
        <w:pStyle w:val="6"/>
        <w:numPr>
          <w:ilvl w:val="0"/>
          <w:numId w:val="3"/>
        </w:numPr>
        <w:tabs>
          <w:tab w:val="left" w:pos="963"/>
        </w:tabs>
        <w:spacing w:before="67" w:after="0" w:line="292" w:lineRule="auto"/>
        <w:ind w:left="120" w:right="421" w:firstLine="480"/>
        <w:jc w:val="left"/>
        <w:rPr>
          <w:sz w:val="24"/>
        </w:rPr>
      </w:pPr>
      <w:r>
        <w:rPr>
          <w:sz w:val="24"/>
        </w:rPr>
        <w:t>开放经济条件下的内部与外部均衡、米德冲突、丁伯根法则和政策分配原则、斯旺模型和蒙代尔模型</w:t>
      </w:r>
    </w:p>
    <w:p>
      <w:pPr>
        <w:pStyle w:val="6"/>
        <w:numPr>
          <w:ilvl w:val="0"/>
          <w:numId w:val="3"/>
        </w:numPr>
        <w:tabs>
          <w:tab w:val="left" w:pos="962"/>
        </w:tabs>
        <w:spacing w:before="0" w:after="0" w:line="306" w:lineRule="exact"/>
        <w:ind w:left="961" w:right="0" w:hanging="362"/>
        <w:jc w:val="left"/>
        <w:rPr>
          <w:sz w:val="24"/>
        </w:rPr>
      </w:pPr>
      <w:r>
        <w:rPr>
          <w:sz w:val="24"/>
        </w:rPr>
        <w:t>中国的国际收支</w:t>
      </w:r>
    </w:p>
    <w:p>
      <w:pPr>
        <w:pStyle w:val="3"/>
        <w:ind w:left="600" w:firstLine="0"/>
      </w:pPr>
      <w:r>
        <w:t>二、外汇、汇率及汇率制度</w:t>
      </w:r>
    </w:p>
    <w:p>
      <w:pPr>
        <w:pStyle w:val="6"/>
        <w:numPr>
          <w:ilvl w:val="0"/>
          <w:numId w:val="4"/>
        </w:numPr>
        <w:tabs>
          <w:tab w:val="left" w:pos="963"/>
        </w:tabs>
        <w:spacing w:before="67" w:after="0" w:line="292" w:lineRule="auto"/>
        <w:ind w:left="120" w:right="421" w:firstLine="480"/>
        <w:jc w:val="left"/>
        <w:rPr>
          <w:sz w:val="24"/>
        </w:rPr>
      </w:pPr>
      <w:r>
        <w:rPr>
          <w:sz w:val="24"/>
        </w:rPr>
        <w:t>外汇的概念及货币的可兑换性、汇率的标价方法及货币的升值与贬值、汇率种类、外汇风险、外汇市场的概念、主要的外汇交易</w:t>
      </w:r>
    </w:p>
    <w:p>
      <w:pPr>
        <w:pStyle w:val="6"/>
        <w:numPr>
          <w:ilvl w:val="0"/>
          <w:numId w:val="4"/>
        </w:numPr>
        <w:tabs>
          <w:tab w:val="left" w:pos="963"/>
        </w:tabs>
        <w:spacing w:before="0" w:after="0" w:line="306" w:lineRule="exact"/>
        <w:ind w:left="962" w:right="0" w:hanging="363"/>
        <w:jc w:val="left"/>
        <w:rPr>
          <w:sz w:val="24"/>
        </w:rPr>
      </w:pPr>
      <w:r>
        <w:rPr>
          <w:sz w:val="24"/>
        </w:rPr>
        <w:t>汇率的决定基础、各种汇率决定理论、各种外汇交易和外汇风险防范方</w:t>
      </w:r>
    </w:p>
    <w:p>
      <w:pPr>
        <w:pStyle w:val="3"/>
        <w:ind w:left="120" w:firstLine="0"/>
      </w:pPr>
      <w:r>
        <w:t>法</w:t>
      </w:r>
    </w:p>
    <w:p>
      <w:pPr>
        <w:pStyle w:val="6"/>
        <w:numPr>
          <w:ilvl w:val="0"/>
          <w:numId w:val="4"/>
        </w:numPr>
        <w:tabs>
          <w:tab w:val="left" w:pos="963"/>
        </w:tabs>
        <w:spacing w:before="67" w:after="0" w:line="240" w:lineRule="auto"/>
        <w:ind w:left="962" w:right="0" w:hanging="363"/>
        <w:jc w:val="left"/>
        <w:rPr>
          <w:sz w:val="24"/>
        </w:rPr>
      </w:pPr>
      <w:r>
        <w:rPr>
          <w:sz w:val="24"/>
        </w:rPr>
        <w:t>影响汇率变动的主要因素、汇率变动对经济的影响、购买力平价论、利</w:t>
      </w:r>
    </w:p>
    <w:p>
      <w:pPr>
        <w:pStyle w:val="3"/>
        <w:spacing w:before="66"/>
        <w:ind w:left="120" w:firstLine="0"/>
      </w:pPr>
      <w:r>
        <w:t>率平价论、货币论（灵活价格货币模型和粘性价格货币模型</w:t>
      </w:r>
      <w:r>
        <w:rPr>
          <w:spacing w:val="-120"/>
        </w:rPr>
        <w:t>）</w:t>
      </w:r>
      <w:r>
        <w:t>、资产组合论</w:t>
      </w:r>
    </w:p>
    <w:p>
      <w:pPr>
        <w:pStyle w:val="6"/>
        <w:numPr>
          <w:ilvl w:val="0"/>
          <w:numId w:val="4"/>
        </w:numPr>
        <w:tabs>
          <w:tab w:val="left" w:pos="962"/>
        </w:tabs>
        <w:spacing w:before="67" w:after="0" w:line="240" w:lineRule="auto"/>
        <w:ind w:left="961" w:right="0" w:hanging="362"/>
        <w:jc w:val="left"/>
        <w:rPr>
          <w:sz w:val="24"/>
        </w:rPr>
      </w:pPr>
      <w:r>
        <w:rPr>
          <w:sz w:val="24"/>
        </w:rPr>
        <w:t>固定汇率、浮动汇率及中间汇率制度</w:t>
      </w:r>
    </w:p>
    <w:p>
      <w:pPr>
        <w:pStyle w:val="6"/>
        <w:numPr>
          <w:ilvl w:val="0"/>
          <w:numId w:val="4"/>
        </w:numPr>
        <w:tabs>
          <w:tab w:val="left" w:pos="962"/>
        </w:tabs>
        <w:spacing w:before="68" w:after="0" w:line="240" w:lineRule="auto"/>
        <w:ind w:left="961" w:right="0" w:hanging="362"/>
        <w:jc w:val="left"/>
        <w:rPr>
          <w:sz w:val="24"/>
        </w:rPr>
      </w:pPr>
      <w:r>
        <w:rPr>
          <w:sz w:val="24"/>
        </w:rPr>
        <w:t>最优货币区理论、蒙代尔－弗莱明模型、三元难题、外汇干预</w:t>
      </w:r>
    </w:p>
    <w:p>
      <w:pPr>
        <w:pStyle w:val="6"/>
        <w:numPr>
          <w:ilvl w:val="0"/>
          <w:numId w:val="4"/>
        </w:numPr>
        <w:tabs>
          <w:tab w:val="left" w:pos="962"/>
        </w:tabs>
        <w:spacing w:before="67" w:after="0" w:line="240" w:lineRule="auto"/>
        <w:ind w:left="961" w:right="0" w:hanging="362"/>
        <w:jc w:val="left"/>
        <w:rPr>
          <w:sz w:val="24"/>
        </w:rPr>
      </w:pPr>
      <w:r>
        <w:rPr>
          <w:sz w:val="24"/>
        </w:rPr>
        <w:t>中国的汇率制度</w:t>
      </w:r>
    </w:p>
    <w:p>
      <w:pPr>
        <w:pStyle w:val="3"/>
        <w:spacing w:before="66"/>
        <w:ind w:left="600" w:firstLine="0"/>
      </w:pPr>
      <w:r>
        <w:t>三、国际储备和国际货币体系</w:t>
      </w:r>
    </w:p>
    <w:p>
      <w:pPr>
        <w:pStyle w:val="6"/>
        <w:numPr>
          <w:ilvl w:val="0"/>
          <w:numId w:val="5"/>
        </w:numPr>
        <w:tabs>
          <w:tab w:val="left" w:pos="962"/>
        </w:tabs>
        <w:spacing w:before="67" w:after="0" w:line="240" w:lineRule="auto"/>
        <w:ind w:left="961" w:right="0" w:hanging="362"/>
        <w:jc w:val="left"/>
        <w:rPr>
          <w:sz w:val="24"/>
        </w:rPr>
      </w:pPr>
      <w:r>
        <w:rPr>
          <w:sz w:val="24"/>
        </w:rPr>
        <w:t>国际储备的内涵、国际清偿力、国际储备的规模与结构管理</w:t>
      </w:r>
    </w:p>
    <w:p>
      <w:pPr>
        <w:pStyle w:val="6"/>
        <w:numPr>
          <w:ilvl w:val="0"/>
          <w:numId w:val="5"/>
        </w:numPr>
        <w:tabs>
          <w:tab w:val="left" w:pos="962"/>
        </w:tabs>
        <w:spacing w:before="67" w:after="0" w:line="240" w:lineRule="auto"/>
        <w:ind w:left="961" w:right="0" w:hanging="362"/>
        <w:jc w:val="left"/>
        <w:rPr>
          <w:sz w:val="24"/>
        </w:rPr>
      </w:pPr>
      <w:r>
        <w:rPr>
          <w:sz w:val="24"/>
        </w:rPr>
        <w:t>多种货币储备体系的成因和特点</w:t>
      </w:r>
    </w:p>
    <w:p>
      <w:pPr>
        <w:pStyle w:val="6"/>
        <w:numPr>
          <w:ilvl w:val="0"/>
          <w:numId w:val="5"/>
        </w:numPr>
        <w:tabs>
          <w:tab w:val="left" w:pos="963"/>
        </w:tabs>
        <w:spacing w:before="67" w:after="0" w:line="292" w:lineRule="auto"/>
        <w:ind w:left="120" w:right="421" w:firstLine="480"/>
        <w:jc w:val="left"/>
        <w:rPr>
          <w:sz w:val="24"/>
        </w:rPr>
      </w:pPr>
      <w:r>
        <w:rPr>
          <w:sz w:val="24"/>
        </w:rPr>
        <w:t>国际金本位制度和储备货币本位制度的运作机制、布雷顿森林体系的建立及其崩溃、买加体系的成因、欧元区的形成和发展</w:t>
      </w:r>
    </w:p>
    <w:p>
      <w:pPr>
        <w:pStyle w:val="6"/>
        <w:numPr>
          <w:ilvl w:val="0"/>
          <w:numId w:val="5"/>
        </w:numPr>
        <w:tabs>
          <w:tab w:val="left" w:pos="962"/>
        </w:tabs>
        <w:spacing w:before="0" w:after="0" w:line="306" w:lineRule="exact"/>
        <w:ind w:left="961" w:right="0" w:hanging="362"/>
        <w:jc w:val="left"/>
        <w:rPr>
          <w:sz w:val="24"/>
        </w:rPr>
      </w:pPr>
      <w:r>
        <w:rPr>
          <w:sz w:val="24"/>
        </w:rPr>
        <w:t>中国的国际储备管理和人民币国际化</w:t>
      </w:r>
    </w:p>
    <w:p>
      <w:pPr>
        <w:pStyle w:val="3"/>
        <w:ind w:left="600" w:firstLine="0"/>
      </w:pPr>
      <w:r>
        <w:t>四、国际金融市场、国际资本流动和货币危机</w:t>
      </w:r>
    </w:p>
    <w:p>
      <w:pPr>
        <w:pStyle w:val="6"/>
        <w:numPr>
          <w:ilvl w:val="0"/>
          <w:numId w:val="6"/>
        </w:numPr>
        <w:tabs>
          <w:tab w:val="left" w:pos="962"/>
        </w:tabs>
        <w:spacing w:before="67" w:after="0" w:line="240" w:lineRule="auto"/>
        <w:ind w:left="961" w:right="0" w:hanging="362"/>
        <w:jc w:val="left"/>
        <w:rPr>
          <w:sz w:val="24"/>
        </w:rPr>
      </w:pPr>
      <w:r>
        <w:rPr>
          <w:sz w:val="24"/>
        </w:rPr>
        <w:t>国际金融市场的概念、构成、发展过程</w:t>
      </w:r>
    </w:p>
    <w:p>
      <w:pPr>
        <w:pStyle w:val="6"/>
        <w:numPr>
          <w:ilvl w:val="0"/>
          <w:numId w:val="6"/>
        </w:numPr>
        <w:tabs>
          <w:tab w:val="left" w:pos="962"/>
        </w:tabs>
        <w:spacing w:before="67" w:after="0" w:line="240" w:lineRule="auto"/>
        <w:ind w:left="961" w:right="0" w:hanging="362"/>
        <w:jc w:val="left"/>
        <w:rPr>
          <w:sz w:val="24"/>
        </w:rPr>
      </w:pPr>
      <w:r>
        <w:rPr>
          <w:sz w:val="24"/>
        </w:rPr>
        <w:t>国际资本市场的涵义和优势</w:t>
      </w:r>
    </w:p>
    <w:p>
      <w:pPr>
        <w:pStyle w:val="6"/>
        <w:numPr>
          <w:ilvl w:val="0"/>
          <w:numId w:val="6"/>
        </w:numPr>
        <w:tabs>
          <w:tab w:val="left" w:pos="962"/>
        </w:tabs>
        <w:spacing w:before="67" w:after="0" w:line="240" w:lineRule="auto"/>
        <w:ind w:left="961" w:right="0" w:hanging="362"/>
        <w:jc w:val="left"/>
        <w:rPr>
          <w:sz w:val="24"/>
        </w:rPr>
      </w:pPr>
      <w:r>
        <w:rPr>
          <w:sz w:val="24"/>
        </w:rPr>
        <w:t>国际货币市场以及欧洲货币市场的特点、经营活动、优劣及其影响</w:t>
      </w:r>
    </w:p>
    <w:p>
      <w:pPr>
        <w:pStyle w:val="6"/>
        <w:numPr>
          <w:ilvl w:val="0"/>
          <w:numId w:val="6"/>
        </w:numPr>
        <w:tabs>
          <w:tab w:val="left" w:pos="963"/>
        </w:tabs>
        <w:spacing w:before="67" w:after="0" w:line="292" w:lineRule="auto"/>
        <w:ind w:left="120" w:right="421" w:firstLine="480"/>
        <w:jc w:val="left"/>
        <w:rPr>
          <w:sz w:val="24"/>
        </w:rPr>
      </w:pPr>
      <w:r>
        <w:rPr>
          <w:sz w:val="24"/>
        </w:rPr>
        <w:t>国际资本流动的主要类型和动因、国际中长期资本流动和国际短期资本流动的形式和特点</w:t>
      </w:r>
    </w:p>
    <w:p>
      <w:pPr>
        <w:pStyle w:val="6"/>
        <w:numPr>
          <w:ilvl w:val="0"/>
          <w:numId w:val="6"/>
        </w:numPr>
        <w:tabs>
          <w:tab w:val="left" w:pos="963"/>
        </w:tabs>
        <w:spacing w:before="0" w:after="0" w:line="306" w:lineRule="exact"/>
        <w:ind w:left="962" w:right="0" w:hanging="363"/>
        <w:jc w:val="left"/>
        <w:rPr>
          <w:sz w:val="24"/>
        </w:rPr>
      </w:pPr>
      <w:r>
        <w:rPr>
          <w:sz w:val="24"/>
        </w:rPr>
        <w:t>货币危机的基本概念及其成因、三代货币危机模型的基本机理和经济影</w:t>
      </w:r>
    </w:p>
    <w:p>
      <w:pPr>
        <w:pStyle w:val="3"/>
        <w:spacing w:line="303" w:lineRule="exact"/>
        <w:ind w:left="120" w:firstLine="0"/>
      </w:pPr>
      <w:r>
        <w:t>响</w:t>
      </w:r>
    </w:p>
    <w:p>
      <w:pPr>
        <w:spacing w:before="0" w:line="437" w:lineRule="exact"/>
        <w:ind w:left="602" w:right="0" w:firstLine="0"/>
        <w:jc w:val="left"/>
        <w:rPr>
          <w:rFonts w:hint="eastAsia" w:ascii="微软雅黑" w:eastAsia="微软雅黑"/>
          <w:b/>
          <w:sz w:val="24"/>
        </w:rPr>
      </w:pPr>
      <w:r>
        <w:rPr>
          <w:rFonts w:hint="eastAsia" w:ascii="微软雅黑" w:eastAsia="微软雅黑"/>
          <w:b/>
          <w:sz w:val="24"/>
        </w:rPr>
        <w:t>货币银行学部分：</w:t>
      </w:r>
    </w:p>
    <w:p>
      <w:pPr>
        <w:pStyle w:val="3"/>
        <w:spacing w:before="9"/>
        <w:ind w:left="600" w:firstLine="0"/>
      </w:pPr>
      <w:r>
        <w:t>一、货币、信用与利息</w:t>
      </w:r>
    </w:p>
    <w:p>
      <w:pPr>
        <w:pStyle w:val="6"/>
        <w:numPr>
          <w:ilvl w:val="0"/>
          <w:numId w:val="7"/>
        </w:numPr>
        <w:tabs>
          <w:tab w:val="left" w:pos="963"/>
        </w:tabs>
        <w:spacing w:before="67" w:after="0" w:line="240" w:lineRule="auto"/>
        <w:ind w:left="962" w:right="0" w:hanging="363"/>
        <w:jc w:val="left"/>
        <w:rPr>
          <w:sz w:val="24"/>
        </w:rPr>
      </w:pPr>
      <w:r>
        <w:rPr>
          <w:sz w:val="24"/>
        </w:rPr>
        <w:t>货币与货币制度：货币的起源和发展、货币的职能、货币制度、货币的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60" w:right="1380" w:bottom="1080" w:left="1680" w:header="876" w:footer="882" w:gutter="0"/>
          <w:cols w:space="720" w:num="1"/>
        </w:sectPr>
      </w:pPr>
    </w:p>
    <w:p>
      <w:pPr>
        <w:pStyle w:val="3"/>
        <w:spacing w:before="96"/>
        <w:ind w:left="120" w:firstLine="0"/>
      </w:pPr>
      <w:r>
        <w:t>层次</w:t>
      </w:r>
    </w:p>
    <w:p>
      <w:pPr>
        <w:pStyle w:val="6"/>
        <w:numPr>
          <w:ilvl w:val="0"/>
          <w:numId w:val="7"/>
        </w:numPr>
        <w:tabs>
          <w:tab w:val="left" w:pos="962"/>
        </w:tabs>
        <w:spacing w:before="67" w:after="0" w:line="292" w:lineRule="auto"/>
        <w:ind w:left="120" w:right="419" w:firstLine="480"/>
        <w:jc w:val="left"/>
        <w:rPr>
          <w:sz w:val="24"/>
        </w:rPr>
      </w:pPr>
      <w:r>
        <w:rPr>
          <w:spacing w:val="-14"/>
          <w:sz w:val="24"/>
        </w:rPr>
        <w:t>信用：信用的产生与发展、现代信用的基本形式、各种主要的信用工具</w:t>
      </w:r>
      <w:r>
        <w:rPr>
          <w:sz w:val="24"/>
        </w:rPr>
        <w:t>、信用的作用</w:t>
      </w:r>
    </w:p>
    <w:p>
      <w:pPr>
        <w:pStyle w:val="6"/>
        <w:numPr>
          <w:ilvl w:val="0"/>
          <w:numId w:val="7"/>
        </w:numPr>
        <w:tabs>
          <w:tab w:val="left" w:pos="962"/>
        </w:tabs>
        <w:spacing w:before="0" w:after="0" w:line="292" w:lineRule="auto"/>
        <w:ind w:left="120" w:right="419" w:firstLine="480"/>
        <w:jc w:val="left"/>
        <w:rPr>
          <w:sz w:val="24"/>
        </w:rPr>
      </w:pPr>
      <w:r>
        <w:rPr>
          <w:spacing w:val="-2"/>
          <w:sz w:val="24"/>
        </w:rPr>
        <w:t>利息与利率：利息本质的理论、利率的种类、利率的作用、利率的决定</w:t>
      </w:r>
      <w:r>
        <w:rPr>
          <w:sz w:val="24"/>
        </w:rPr>
        <w:t>、利率的结构</w:t>
      </w:r>
    </w:p>
    <w:p>
      <w:pPr>
        <w:pStyle w:val="3"/>
        <w:spacing w:before="0" w:line="306" w:lineRule="exact"/>
        <w:ind w:left="600" w:firstLine="0"/>
      </w:pPr>
      <w:r>
        <w:t>二、金融市场</w:t>
      </w:r>
    </w:p>
    <w:p>
      <w:pPr>
        <w:pStyle w:val="6"/>
        <w:numPr>
          <w:ilvl w:val="0"/>
          <w:numId w:val="8"/>
        </w:numPr>
        <w:tabs>
          <w:tab w:val="left" w:pos="962"/>
        </w:tabs>
        <w:spacing w:before="66" w:after="0" w:line="240" w:lineRule="auto"/>
        <w:ind w:left="961" w:right="0" w:hanging="362"/>
        <w:jc w:val="left"/>
        <w:rPr>
          <w:sz w:val="24"/>
        </w:rPr>
      </w:pPr>
      <w:r>
        <w:rPr>
          <w:sz w:val="24"/>
        </w:rPr>
        <w:t>直接融资与间接融资、金融市场的功能、金融市场的分类、金融创新</w:t>
      </w:r>
    </w:p>
    <w:p>
      <w:pPr>
        <w:pStyle w:val="6"/>
        <w:numPr>
          <w:ilvl w:val="0"/>
          <w:numId w:val="8"/>
        </w:numPr>
        <w:tabs>
          <w:tab w:val="left" w:pos="962"/>
        </w:tabs>
        <w:spacing w:before="67" w:after="0" w:line="240" w:lineRule="auto"/>
        <w:ind w:left="961" w:right="0" w:hanging="362"/>
        <w:jc w:val="left"/>
        <w:rPr>
          <w:sz w:val="24"/>
        </w:rPr>
      </w:pPr>
      <w:r>
        <w:rPr>
          <w:sz w:val="24"/>
        </w:rPr>
        <w:t>货币市场：特征、主要工具</w:t>
      </w:r>
    </w:p>
    <w:p>
      <w:pPr>
        <w:pStyle w:val="6"/>
        <w:numPr>
          <w:ilvl w:val="0"/>
          <w:numId w:val="8"/>
        </w:numPr>
        <w:tabs>
          <w:tab w:val="left" w:pos="962"/>
        </w:tabs>
        <w:spacing w:before="66" w:after="0" w:line="240" w:lineRule="auto"/>
        <w:ind w:left="961" w:right="0" w:hanging="362"/>
        <w:jc w:val="left"/>
        <w:rPr>
          <w:sz w:val="24"/>
        </w:rPr>
      </w:pPr>
      <w:r>
        <w:rPr>
          <w:sz w:val="24"/>
        </w:rPr>
        <w:t>资本市场：特征、主要工具</w:t>
      </w:r>
    </w:p>
    <w:p>
      <w:pPr>
        <w:pStyle w:val="6"/>
        <w:numPr>
          <w:ilvl w:val="0"/>
          <w:numId w:val="8"/>
        </w:numPr>
        <w:tabs>
          <w:tab w:val="left" w:pos="962"/>
        </w:tabs>
        <w:spacing w:before="67" w:after="0" w:line="292" w:lineRule="auto"/>
        <w:ind w:left="600" w:right="925" w:firstLine="0"/>
        <w:jc w:val="left"/>
        <w:rPr>
          <w:sz w:val="24"/>
        </w:rPr>
      </w:pPr>
      <w:r>
        <w:rPr>
          <w:spacing w:val="-1"/>
          <w:sz w:val="24"/>
        </w:rPr>
        <w:t>其他金融市场与工具：金融衍生产品及市场、外汇市场、黄金市场</w:t>
      </w:r>
      <w:r>
        <w:rPr>
          <w:sz w:val="24"/>
        </w:rPr>
        <w:t>三、金融机构体系</w:t>
      </w:r>
    </w:p>
    <w:p>
      <w:pPr>
        <w:pStyle w:val="6"/>
        <w:numPr>
          <w:ilvl w:val="0"/>
          <w:numId w:val="9"/>
        </w:numPr>
        <w:tabs>
          <w:tab w:val="left" w:pos="962"/>
        </w:tabs>
        <w:spacing w:before="0" w:after="0" w:line="306" w:lineRule="exact"/>
        <w:ind w:left="961" w:right="0" w:hanging="362"/>
        <w:jc w:val="left"/>
        <w:rPr>
          <w:sz w:val="24"/>
        </w:rPr>
      </w:pPr>
      <w:r>
        <w:rPr>
          <w:sz w:val="24"/>
        </w:rPr>
        <w:t>商业银行：产生与发展、主要业务、经营管理、巴塞尔协议</w:t>
      </w:r>
    </w:p>
    <w:p>
      <w:pPr>
        <w:pStyle w:val="6"/>
        <w:numPr>
          <w:ilvl w:val="0"/>
          <w:numId w:val="9"/>
        </w:numPr>
        <w:tabs>
          <w:tab w:val="left" w:pos="962"/>
        </w:tabs>
        <w:spacing w:before="67" w:after="0" w:line="240" w:lineRule="auto"/>
        <w:ind w:left="961" w:right="0" w:hanging="362"/>
        <w:jc w:val="left"/>
        <w:rPr>
          <w:sz w:val="24"/>
        </w:rPr>
      </w:pPr>
      <w:r>
        <w:rPr>
          <w:sz w:val="24"/>
        </w:rPr>
        <w:t>投资银行：产生与发展、主要业务、分业经营与混业经营</w:t>
      </w:r>
    </w:p>
    <w:p>
      <w:pPr>
        <w:pStyle w:val="6"/>
        <w:numPr>
          <w:ilvl w:val="0"/>
          <w:numId w:val="9"/>
        </w:numPr>
        <w:tabs>
          <w:tab w:val="left" w:pos="962"/>
        </w:tabs>
        <w:spacing w:before="67" w:after="0" w:line="240" w:lineRule="auto"/>
        <w:ind w:left="961" w:right="0" w:hanging="362"/>
        <w:jc w:val="left"/>
        <w:rPr>
          <w:sz w:val="24"/>
        </w:rPr>
      </w:pPr>
      <w:r>
        <w:rPr>
          <w:sz w:val="24"/>
        </w:rPr>
        <w:t>其他金融机构：存款型、契约型、投资型、政策型</w:t>
      </w:r>
    </w:p>
    <w:p>
      <w:pPr>
        <w:pStyle w:val="6"/>
        <w:numPr>
          <w:ilvl w:val="0"/>
          <w:numId w:val="9"/>
        </w:numPr>
        <w:tabs>
          <w:tab w:val="left" w:pos="962"/>
        </w:tabs>
        <w:spacing w:before="67" w:after="0" w:line="240" w:lineRule="auto"/>
        <w:ind w:left="961" w:right="0" w:hanging="362"/>
        <w:jc w:val="left"/>
        <w:rPr>
          <w:sz w:val="24"/>
        </w:rPr>
      </w:pPr>
      <w:r>
        <w:rPr>
          <w:sz w:val="24"/>
        </w:rPr>
        <w:t>中央银行：产生与发展、主要业务、性质与地位、职能与作用</w:t>
      </w:r>
    </w:p>
    <w:p>
      <w:pPr>
        <w:pStyle w:val="6"/>
        <w:numPr>
          <w:ilvl w:val="0"/>
          <w:numId w:val="9"/>
        </w:numPr>
        <w:tabs>
          <w:tab w:val="left" w:pos="963"/>
        </w:tabs>
        <w:spacing w:before="67" w:after="0" w:line="292" w:lineRule="auto"/>
        <w:ind w:left="120" w:right="421" w:firstLine="480"/>
        <w:jc w:val="left"/>
        <w:rPr>
          <w:sz w:val="24"/>
        </w:rPr>
      </w:pPr>
      <w:r>
        <w:rPr>
          <w:sz w:val="24"/>
        </w:rPr>
        <w:t>金融危机与金融监管：金融危机的原因与表现、金融监管的必要性与主要措施</w:t>
      </w:r>
    </w:p>
    <w:p>
      <w:pPr>
        <w:pStyle w:val="3"/>
        <w:spacing w:before="0" w:line="306" w:lineRule="exact"/>
        <w:ind w:left="600" w:firstLine="0"/>
      </w:pPr>
      <w:r>
        <w:t>四、货币理论与政策</w:t>
      </w:r>
    </w:p>
    <w:p>
      <w:pPr>
        <w:pStyle w:val="6"/>
        <w:numPr>
          <w:ilvl w:val="0"/>
          <w:numId w:val="10"/>
        </w:numPr>
        <w:tabs>
          <w:tab w:val="left" w:pos="963"/>
        </w:tabs>
        <w:spacing w:before="67" w:after="0" w:line="292" w:lineRule="auto"/>
        <w:ind w:left="120" w:right="421" w:firstLine="480"/>
        <w:jc w:val="left"/>
        <w:rPr>
          <w:sz w:val="24"/>
        </w:rPr>
      </w:pPr>
      <w:r>
        <w:rPr>
          <w:sz w:val="24"/>
        </w:rPr>
        <w:t>货币供给：商业银行存款创造、基础货币、货币乘数、乔顿模型、内生性与外生性</w:t>
      </w:r>
    </w:p>
    <w:p>
      <w:pPr>
        <w:pStyle w:val="6"/>
        <w:numPr>
          <w:ilvl w:val="0"/>
          <w:numId w:val="10"/>
        </w:numPr>
        <w:tabs>
          <w:tab w:val="left" w:pos="963"/>
        </w:tabs>
        <w:spacing w:before="0" w:after="0" w:line="292" w:lineRule="auto"/>
        <w:ind w:left="120" w:right="421" w:firstLine="480"/>
        <w:jc w:val="left"/>
        <w:rPr>
          <w:sz w:val="24"/>
        </w:rPr>
      </w:pPr>
      <w:r>
        <w:rPr>
          <w:sz w:val="24"/>
        </w:rPr>
        <w:t>货币需求：影响货币需求的因素、传统货币数量说、流动性偏好理论及其发展、现代货币数量说</w:t>
      </w:r>
    </w:p>
    <w:p>
      <w:pPr>
        <w:pStyle w:val="6"/>
        <w:numPr>
          <w:ilvl w:val="0"/>
          <w:numId w:val="10"/>
        </w:numPr>
        <w:tabs>
          <w:tab w:val="left" w:pos="962"/>
        </w:tabs>
        <w:spacing w:before="0" w:after="0" w:line="292" w:lineRule="auto"/>
        <w:ind w:left="120" w:right="418" w:firstLine="480"/>
        <w:jc w:val="left"/>
        <w:rPr>
          <w:sz w:val="24"/>
        </w:rPr>
      </w:pPr>
      <w:r>
        <w:rPr>
          <w:spacing w:val="-3"/>
          <w:sz w:val="24"/>
        </w:rPr>
        <w:t>货币政策：货币政策工具、货币政策中间目标、货币政策最终目标 、</w:t>
      </w:r>
      <w:r>
        <w:rPr>
          <w:spacing w:val="-1"/>
          <w:sz w:val="24"/>
        </w:rPr>
        <w:t>菲利普斯曲线 、 单一规则与相机抉择 、 货币政策的传导机制</w:t>
      </w:r>
    </w:p>
    <w:p>
      <w:pPr>
        <w:pStyle w:val="6"/>
        <w:numPr>
          <w:ilvl w:val="0"/>
          <w:numId w:val="10"/>
        </w:numPr>
        <w:tabs>
          <w:tab w:val="left" w:pos="962"/>
        </w:tabs>
        <w:spacing w:before="0" w:after="0" w:line="306" w:lineRule="exact"/>
        <w:ind w:left="961" w:right="0" w:hanging="362"/>
        <w:jc w:val="left"/>
        <w:rPr>
          <w:sz w:val="24"/>
        </w:rPr>
      </w:pPr>
      <w:r>
        <w:rPr>
          <w:sz w:val="24"/>
        </w:rPr>
        <w:t>通货膨胀与通货紧缩：通货膨胀的度量、成因与治理、通货紧缩</w:t>
      </w:r>
    </w:p>
    <w:p>
      <w:pPr>
        <w:pStyle w:val="6"/>
        <w:numPr>
          <w:ilvl w:val="0"/>
          <w:numId w:val="10"/>
        </w:numPr>
        <w:tabs>
          <w:tab w:val="left" w:pos="962"/>
        </w:tabs>
        <w:spacing w:before="71" w:after="0" w:line="232" w:lineRule="auto"/>
        <w:ind w:left="602" w:right="3805" w:hanging="3"/>
        <w:jc w:val="left"/>
        <w:rPr>
          <w:rFonts w:hint="eastAsia" w:ascii="微软雅黑" w:eastAsia="微软雅黑"/>
          <w:b/>
          <w:sz w:val="24"/>
        </w:rPr>
      </w:pPr>
      <w:r>
        <w:rPr>
          <w:spacing w:val="-1"/>
          <w:sz w:val="24"/>
        </w:rPr>
        <w:t>金融与经济发展：金融抑制、金融发展</w:t>
      </w:r>
      <w:r>
        <w:rPr>
          <w:rFonts w:hint="eastAsia" w:ascii="微软雅黑" w:eastAsia="微软雅黑"/>
          <w:b/>
          <w:sz w:val="24"/>
        </w:rPr>
        <w:t>投资学部分：</w:t>
      </w:r>
    </w:p>
    <w:p>
      <w:pPr>
        <w:pStyle w:val="3"/>
        <w:spacing w:before="15"/>
        <w:ind w:left="600" w:firstLine="0"/>
      </w:pPr>
      <w:r>
        <w:t>一、证券市场和证券投资的收益与风险</w:t>
      </w:r>
    </w:p>
    <w:p>
      <w:pPr>
        <w:pStyle w:val="6"/>
        <w:numPr>
          <w:ilvl w:val="0"/>
          <w:numId w:val="11"/>
        </w:numPr>
        <w:tabs>
          <w:tab w:val="left" w:pos="962"/>
        </w:tabs>
        <w:spacing w:before="66" w:after="0" w:line="240" w:lineRule="auto"/>
        <w:ind w:left="961" w:right="0" w:hanging="362"/>
        <w:jc w:val="left"/>
        <w:rPr>
          <w:sz w:val="24"/>
        </w:rPr>
      </w:pPr>
      <w:r>
        <w:rPr>
          <w:sz w:val="24"/>
        </w:rPr>
        <w:t>基本概念、证券市场的要素及运行</w:t>
      </w:r>
    </w:p>
    <w:p>
      <w:pPr>
        <w:pStyle w:val="6"/>
        <w:numPr>
          <w:ilvl w:val="0"/>
          <w:numId w:val="12"/>
        </w:numPr>
        <w:tabs>
          <w:tab w:val="left" w:pos="1202"/>
        </w:tabs>
        <w:spacing w:before="67" w:after="0" w:line="240" w:lineRule="auto"/>
        <w:ind w:left="1201" w:right="0" w:hanging="602"/>
        <w:jc w:val="left"/>
        <w:rPr>
          <w:sz w:val="24"/>
        </w:rPr>
      </w:pPr>
      <w:r>
        <w:rPr>
          <w:sz w:val="24"/>
        </w:rPr>
        <w:t>证券、投资、金融市场、各类金融工具的概念、特点与分类</w:t>
      </w:r>
    </w:p>
    <w:p>
      <w:pPr>
        <w:pStyle w:val="6"/>
        <w:numPr>
          <w:ilvl w:val="0"/>
          <w:numId w:val="12"/>
        </w:numPr>
        <w:tabs>
          <w:tab w:val="left" w:pos="1202"/>
        </w:tabs>
        <w:spacing w:before="67" w:after="0" w:line="240" w:lineRule="auto"/>
        <w:ind w:left="1201" w:right="0" w:hanging="602"/>
        <w:jc w:val="left"/>
        <w:rPr>
          <w:sz w:val="24"/>
        </w:rPr>
      </w:pPr>
      <w:r>
        <w:rPr>
          <w:sz w:val="24"/>
        </w:rPr>
        <w:t>证券市场主体、证券市场中介</w:t>
      </w:r>
    </w:p>
    <w:p>
      <w:pPr>
        <w:pStyle w:val="6"/>
        <w:numPr>
          <w:ilvl w:val="0"/>
          <w:numId w:val="12"/>
        </w:numPr>
        <w:tabs>
          <w:tab w:val="left" w:pos="1202"/>
        </w:tabs>
        <w:spacing w:before="67" w:after="0" w:line="240" w:lineRule="auto"/>
        <w:ind w:left="1201" w:right="0" w:hanging="602"/>
        <w:jc w:val="left"/>
        <w:rPr>
          <w:sz w:val="24"/>
        </w:rPr>
      </w:pPr>
      <w:r>
        <w:rPr>
          <w:sz w:val="24"/>
        </w:rPr>
        <w:t>证券发行与交易的方式和运行规则</w:t>
      </w:r>
    </w:p>
    <w:p>
      <w:pPr>
        <w:pStyle w:val="6"/>
        <w:numPr>
          <w:ilvl w:val="0"/>
          <w:numId w:val="11"/>
        </w:numPr>
        <w:tabs>
          <w:tab w:val="left" w:pos="962"/>
        </w:tabs>
        <w:spacing w:before="67" w:after="0" w:line="240" w:lineRule="auto"/>
        <w:ind w:left="961" w:right="0" w:hanging="362"/>
        <w:jc w:val="left"/>
        <w:rPr>
          <w:sz w:val="24"/>
        </w:rPr>
      </w:pPr>
      <w:r>
        <w:rPr>
          <w:sz w:val="24"/>
        </w:rPr>
        <w:t>证券投资收益和风险</w:t>
      </w:r>
    </w:p>
    <w:p>
      <w:pPr>
        <w:pStyle w:val="6"/>
        <w:numPr>
          <w:ilvl w:val="0"/>
          <w:numId w:val="13"/>
        </w:numPr>
        <w:tabs>
          <w:tab w:val="left" w:pos="1202"/>
        </w:tabs>
        <w:spacing w:before="67" w:after="0" w:line="240" w:lineRule="auto"/>
        <w:ind w:left="1201" w:right="0" w:hanging="602"/>
        <w:jc w:val="left"/>
        <w:rPr>
          <w:sz w:val="24"/>
        </w:rPr>
      </w:pPr>
      <w:r>
        <w:rPr>
          <w:sz w:val="24"/>
        </w:rPr>
        <w:t>证券投资收益和风险的种类</w:t>
      </w:r>
    </w:p>
    <w:p>
      <w:pPr>
        <w:pStyle w:val="6"/>
        <w:numPr>
          <w:ilvl w:val="0"/>
          <w:numId w:val="13"/>
        </w:numPr>
        <w:tabs>
          <w:tab w:val="left" w:pos="1202"/>
        </w:tabs>
        <w:spacing w:before="67" w:after="0" w:line="240" w:lineRule="auto"/>
        <w:ind w:left="1201" w:right="0" w:hanging="602"/>
        <w:jc w:val="left"/>
        <w:rPr>
          <w:sz w:val="24"/>
        </w:rPr>
      </w:pPr>
      <w:r>
        <w:rPr>
          <w:sz w:val="24"/>
        </w:rPr>
        <w:t>各种收益率的计算</w:t>
      </w:r>
    </w:p>
    <w:p>
      <w:pPr>
        <w:pStyle w:val="6"/>
        <w:numPr>
          <w:ilvl w:val="0"/>
          <w:numId w:val="13"/>
        </w:numPr>
        <w:tabs>
          <w:tab w:val="left" w:pos="1202"/>
        </w:tabs>
        <w:spacing w:before="67" w:after="0" w:line="292" w:lineRule="auto"/>
        <w:ind w:left="600" w:right="5844" w:firstLine="0"/>
        <w:jc w:val="left"/>
        <w:rPr>
          <w:sz w:val="24"/>
        </w:rPr>
      </w:pPr>
      <w:r>
        <w:rPr>
          <w:sz w:val="24"/>
        </w:rPr>
        <w:t>投资风险的衡量</w:t>
      </w:r>
      <w:r>
        <w:rPr>
          <w:spacing w:val="-1"/>
          <w:sz w:val="24"/>
        </w:rPr>
        <w:t>二、证券投资组合管理</w:t>
      </w:r>
    </w:p>
    <w:p>
      <w:pPr>
        <w:spacing w:after="0" w:line="292" w:lineRule="auto"/>
        <w:jc w:val="left"/>
        <w:rPr>
          <w:sz w:val="24"/>
        </w:rPr>
        <w:sectPr>
          <w:pgSz w:w="11910" w:h="16840"/>
          <w:pgMar w:top="1360" w:right="1380" w:bottom="1080" w:left="1680" w:header="876" w:footer="882" w:gutter="0"/>
          <w:cols w:space="720" w:num="1"/>
        </w:sectPr>
      </w:pPr>
    </w:p>
    <w:p>
      <w:pPr>
        <w:pStyle w:val="6"/>
        <w:numPr>
          <w:ilvl w:val="0"/>
          <w:numId w:val="14"/>
        </w:numPr>
        <w:tabs>
          <w:tab w:val="left" w:pos="962"/>
        </w:tabs>
        <w:spacing w:before="96" w:after="0" w:line="240" w:lineRule="auto"/>
        <w:ind w:left="961" w:right="0" w:hanging="362"/>
        <w:jc w:val="left"/>
        <w:rPr>
          <w:sz w:val="24"/>
        </w:rPr>
      </w:pPr>
      <w:r>
        <w:rPr>
          <w:sz w:val="24"/>
        </w:rPr>
        <w:t>多样化与组合构成</w:t>
      </w:r>
    </w:p>
    <w:p>
      <w:pPr>
        <w:pStyle w:val="6"/>
        <w:numPr>
          <w:ilvl w:val="0"/>
          <w:numId w:val="15"/>
        </w:numPr>
        <w:tabs>
          <w:tab w:val="left" w:pos="1202"/>
        </w:tabs>
        <w:spacing w:before="67" w:after="0" w:line="240" w:lineRule="auto"/>
        <w:ind w:left="1201" w:right="0" w:hanging="602"/>
        <w:jc w:val="left"/>
        <w:rPr>
          <w:sz w:val="24"/>
        </w:rPr>
      </w:pPr>
      <w:r>
        <w:rPr>
          <w:sz w:val="24"/>
        </w:rPr>
        <w:t>有效集及无差异曲线</w:t>
      </w:r>
    </w:p>
    <w:p>
      <w:pPr>
        <w:pStyle w:val="6"/>
        <w:numPr>
          <w:ilvl w:val="0"/>
          <w:numId w:val="15"/>
        </w:numPr>
        <w:tabs>
          <w:tab w:val="left" w:pos="1202"/>
        </w:tabs>
        <w:spacing w:before="67" w:after="0" w:line="240" w:lineRule="auto"/>
        <w:ind w:left="1201" w:right="0" w:hanging="602"/>
        <w:jc w:val="left"/>
        <w:rPr>
          <w:sz w:val="24"/>
        </w:rPr>
      </w:pPr>
      <w:r>
        <w:rPr>
          <w:sz w:val="24"/>
        </w:rPr>
        <w:t>最佳资产组合的选择和投资分散化</w:t>
      </w:r>
    </w:p>
    <w:p>
      <w:pPr>
        <w:pStyle w:val="6"/>
        <w:numPr>
          <w:ilvl w:val="0"/>
          <w:numId w:val="14"/>
        </w:numPr>
        <w:tabs>
          <w:tab w:val="left" w:pos="962"/>
        </w:tabs>
        <w:spacing w:before="67" w:after="0" w:line="240" w:lineRule="auto"/>
        <w:ind w:left="961" w:right="0" w:hanging="362"/>
        <w:jc w:val="left"/>
        <w:rPr>
          <w:sz w:val="24"/>
        </w:rPr>
      </w:pPr>
      <w:r>
        <w:rPr>
          <w:sz w:val="24"/>
        </w:rPr>
        <w:t>有效市场与资本资产定价模型</w:t>
      </w:r>
    </w:p>
    <w:p>
      <w:pPr>
        <w:pStyle w:val="6"/>
        <w:numPr>
          <w:ilvl w:val="0"/>
          <w:numId w:val="16"/>
        </w:numPr>
        <w:tabs>
          <w:tab w:val="left" w:pos="1202"/>
        </w:tabs>
        <w:spacing w:before="67" w:after="0" w:line="240" w:lineRule="auto"/>
        <w:ind w:left="1201" w:right="0" w:hanging="602"/>
        <w:jc w:val="left"/>
        <w:rPr>
          <w:sz w:val="24"/>
        </w:rPr>
      </w:pPr>
      <w:r>
        <w:rPr>
          <w:sz w:val="24"/>
        </w:rPr>
        <w:t>有效市场理论</w:t>
      </w:r>
    </w:p>
    <w:p>
      <w:pPr>
        <w:pStyle w:val="6"/>
        <w:numPr>
          <w:ilvl w:val="0"/>
          <w:numId w:val="16"/>
        </w:numPr>
        <w:tabs>
          <w:tab w:val="left" w:pos="1202"/>
        </w:tabs>
        <w:spacing w:before="67" w:after="0" w:line="240" w:lineRule="auto"/>
        <w:ind w:left="1201" w:right="0" w:hanging="602"/>
        <w:jc w:val="left"/>
        <w:rPr>
          <w:sz w:val="24"/>
        </w:rPr>
      </w:pPr>
      <w:r>
        <w:rPr>
          <w:sz w:val="24"/>
        </w:rPr>
        <w:t>资本资产定价模型</w:t>
      </w:r>
    </w:p>
    <w:p>
      <w:pPr>
        <w:pStyle w:val="6"/>
        <w:numPr>
          <w:ilvl w:val="0"/>
          <w:numId w:val="14"/>
        </w:numPr>
        <w:tabs>
          <w:tab w:val="left" w:pos="962"/>
        </w:tabs>
        <w:spacing w:before="67" w:after="0" w:line="240" w:lineRule="auto"/>
        <w:ind w:left="961" w:right="0" w:hanging="362"/>
        <w:jc w:val="left"/>
        <w:rPr>
          <w:sz w:val="24"/>
        </w:rPr>
      </w:pPr>
      <w:r>
        <w:rPr>
          <w:sz w:val="24"/>
        </w:rPr>
        <w:t>因素模型与套利定价理论</w:t>
      </w:r>
    </w:p>
    <w:p>
      <w:pPr>
        <w:pStyle w:val="6"/>
        <w:numPr>
          <w:ilvl w:val="0"/>
          <w:numId w:val="17"/>
        </w:numPr>
        <w:tabs>
          <w:tab w:val="left" w:pos="1202"/>
        </w:tabs>
        <w:spacing w:before="67" w:after="0" w:line="240" w:lineRule="auto"/>
        <w:ind w:left="1201" w:right="0" w:hanging="602"/>
        <w:jc w:val="left"/>
        <w:rPr>
          <w:sz w:val="24"/>
        </w:rPr>
      </w:pPr>
      <w:r>
        <w:rPr>
          <w:sz w:val="24"/>
        </w:rPr>
        <w:t>因素模型</w:t>
      </w:r>
    </w:p>
    <w:p>
      <w:pPr>
        <w:pStyle w:val="6"/>
        <w:numPr>
          <w:ilvl w:val="0"/>
          <w:numId w:val="17"/>
        </w:numPr>
        <w:tabs>
          <w:tab w:val="left" w:pos="1202"/>
        </w:tabs>
        <w:spacing w:before="67" w:after="0" w:line="240" w:lineRule="auto"/>
        <w:ind w:left="1201" w:right="0" w:hanging="602"/>
        <w:jc w:val="left"/>
        <w:rPr>
          <w:sz w:val="24"/>
        </w:rPr>
      </w:pPr>
      <w:r>
        <w:rPr>
          <w:sz w:val="24"/>
        </w:rPr>
        <w:t>套利定价理论</w:t>
      </w:r>
    </w:p>
    <w:p>
      <w:pPr>
        <w:pStyle w:val="6"/>
        <w:numPr>
          <w:ilvl w:val="0"/>
          <w:numId w:val="14"/>
        </w:numPr>
        <w:tabs>
          <w:tab w:val="left" w:pos="962"/>
        </w:tabs>
        <w:spacing w:before="66" w:after="0" w:line="240" w:lineRule="auto"/>
        <w:ind w:left="961" w:right="0" w:hanging="362"/>
        <w:jc w:val="left"/>
        <w:rPr>
          <w:sz w:val="24"/>
        </w:rPr>
      </w:pPr>
      <w:r>
        <w:rPr>
          <w:sz w:val="24"/>
        </w:rPr>
        <w:t>资产配置</w:t>
      </w:r>
    </w:p>
    <w:p>
      <w:pPr>
        <w:pStyle w:val="3"/>
        <w:ind w:left="600" w:firstLine="0"/>
      </w:pPr>
      <w:r>
        <w:t>三、投资工具分析和投资业绩评估</w:t>
      </w:r>
    </w:p>
    <w:p>
      <w:pPr>
        <w:pStyle w:val="6"/>
        <w:numPr>
          <w:ilvl w:val="0"/>
          <w:numId w:val="18"/>
        </w:numPr>
        <w:tabs>
          <w:tab w:val="left" w:pos="962"/>
        </w:tabs>
        <w:spacing w:before="67" w:after="0" w:line="240" w:lineRule="auto"/>
        <w:ind w:left="961" w:right="0" w:hanging="362"/>
        <w:jc w:val="left"/>
        <w:rPr>
          <w:sz w:val="24"/>
        </w:rPr>
      </w:pPr>
      <w:r>
        <w:rPr>
          <w:sz w:val="24"/>
        </w:rPr>
        <w:t>股票、债券和证券投资基金</w:t>
      </w:r>
    </w:p>
    <w:p>
      <w:pPr>
        <w:pStyle w:val="6"/>
        <w:numPr>
          <w:ilvl w:val="0"/>
          <w:numId w:val="19"/>
        </w:numPr>
        <w:tabs>
          <w:tab w:val="left" w:pos="1202"/>
        </w:tabs>
        <w:spacing w:before="67" w:after="0" w:line="240" w:lineRule="auto"/>
        <w:ind w:left="1201" w:right="0" w:hanging="602"/>
        <w:jc w:val="left"/>
        <w:rPr>
          <w:sz w:val="24"/>
        </w:rPr>
      </w:pPr>
      <w:r>
        <w:rPr>
          <w:sz w:val="24"/>
        </w:rPr>
        <w:t>股票定价模型与股票投资分析</w:t>
      </w:r>
    </w:p>
    <w:p>
      <w:pPr>
        <w:pStyle w:val="6"/>
        <w:numPr>
          <w:ilvl w:val="0"/>
          <w:numId w:val="19"/>
        </w:numPr>
        <w:tabs>
          <w:tab w:val="left" w:pos="1202"/>
        </w:tabs>
        <w:spacing w:before="67" w:after="0" w:line="240" w:lineRule="auto"/>
        <w:ind w:left="1201" w:right="0" w:hanging="602"/>
        <w:jc w:val="left"/>
        <w:rPr>
          <w:sz w:val="24"/>
        </w:rPr>
      </w:pPr>
      <w:r>
        <w:rPr>
          <w:sz w:val="24"/>
        </w:rPr>
        <w:t>债券定价分析与债券组合管理</w:t>
      </w:r>
    </w:p>
    <w:p>
      <w:pPr>
        <w:pStyle w:val="6"/>
        <w:numPr>
          <w:ilvl w:val="0"/>
          <w:numId w:val="19"/>
        </w:numPr>
        <w:tabs>
          <w:tab w:val="left" w:pos="1202"/>
        </w:tabs>
        <w:spacing w:before="67" w:after="0" w:line="240" w:lineRule="auto"/>
        <w:ind w:left="1201" w:right="0" w:hanging="602"/>
        <w:jc w:val="left"/>
        <w:rPr>
          <w:sz w:val="24"/>
        </w:rPr>
      </w:pPr>
      <w:r>
        <w:rPr>
          <w:sz w:val="24"/>
        </w:rPr>
        <w:t>证券投资基金的运作与管理</w:t>
      </w:r>
    </w:p>
    <w:p>
      <w:pPr>
        <w:pStyle w:val="6"/>
        <w:numPr>
          <w:ilvl w:val="0"/>
          <w:numId w:val="18"/>
        </w:numPr>
        <w:tabs>
          <w:tab w:val="left" w:pos="962"/>
        </w:tabs>
        <w:spacing w:before="67" w:after="0" w:line="240" w:lineRule="auto"/>
        <w:ind w:left="961" w:right="0" w:hanging="362"/>
        <w:jc w:val="left"/>
        <w:rPr>
          <w:sz w:val="24"/>
        </w:rPr>
      </w:pPr>
      <w:r>
        <w:rPr>
          <w:sz w:val="24"/>
        </w:rPr>
        <w:t>期权和期货</w:t>
      </w:r>
    </w:p>
    <w:p>
      <w:pPr>
        <w:pStyle w:val="6"/>
        <w:numPr>
          <w:ilvl w:val="0"/>
          <w:numId w:val="20"/>
        </w:numPr>
        <w:tabs>
          <w:tab w:val="left" w:pos="1202"/>
        </w:tabs>
        <w:spacing w:before="67" w:after="0" w:line="240" w:lineRule="auto"/>
        <w:ind w:left="1201" w:right="0" w:hanging="602"/>
        <w:jc w:val="left"/>
        <w:rPr>
          <w:sz w:val="24"/>
        </w:rPr>
      </w:pPr>
      <w:r>
        <w:rPr>
          <w:sz w:val="24"/>
        </w:rPr>
        <w:t>期权和期货的原理、功能及品种</w:t>
      </w:r>
    </w:p>
    <w:p>
      <w:pPr>
        <w:pStyle w:val="6"/>
        <w:numPr>
          <w:ilvl w:val="0"/>
          <w:numId w:val="20"/>
        </w:numPr>
        <w:tabs>
          <w:tab w:val="left" w:pos="1202"/>
        </w:tabs>
        <w:spacing w:before="67" w:after="0" w:line="240" w:lineRule="auto"/>
        <w:ind w:left="1201" w:right="0" w:hanging="602"/>
        <w:jc w:val="left"/>
        <w:rPr>
          <w:sz w:val="24"/>
        </w:rPr>
      </w:pPr>
      <w:r>
        <w:rPr>
          <w:sz w:val="24"/>
        </w:rPr>
        <w:t>期权定价模型与期货价格决定</w:t>
      </w:r>
    </w:p>
    <w:p>
      <w:pPr>
        <w:pStyle w:val="6"/>
        <w:numPr>
          <w:ilvl w:val="0"/>
          <w:numId w:val="20"/>
        </w:numPr>
        <w:tabs>
          <w:tab w:val="left" w:pos="1202"/>
        </w:tabs>
        <w:spacing w:before="67" w:after="0" w:line="240" w:lineRule="auto"/>
        <w:ind w:left="1201" w:right="0" w:hanging="602"/>
        <w:jc w:val="left"/>
        <w:rPr>
          <w:sz w:val="24"/>
        </w:rPr>
      </w:pPr>
      <w:r>
        <w:rPr>
          <w:sz w:val="24"/>
        </w:rPr>
        <w:t>期权和期货的交易机制、交易策略</w:t>
      </w:r>
    </w:p>
    <w:p>
      <w:pPr>
        <w:pStyle w:val="6"/>
        <w:numPr>
          <w:ilvl w:val="0"/>
          <w:numId w:val="18"/>
        </w:numPr>
        <w:tabs>
          <w:tab w:val="left" w:pos="962"/>
        </w:tabs>
        <w:spacing w:before="74" w:after="0" w:line="232" w:lineRule="auto"/>
        <w:ind w:left="602" w:right="6444" w:hanging="3"/>
        <w:jc w:val="left"/>
        <w:rPr>
          <w:rFonts w:hint="eastAsia" w:ascii="微软雅黑" w:eastAsia="微软雅黑"/>
          <w:b/>
          <w:sz w:val="24"/>
        </w:rPr>
      </w:pPr>
      <w:r>
        <w:rPr>
          <w:spacing w:val="-1"/>
          <w:sz w:val="24"/>
        </w:rPr>
        <w:t>投资绩效评估</w:t>
      </w:r>
      <w:r>
        <w:rPr>
          <w:rFonts w:hint="eastAsia" w:ascii="微软雅黑" w:eastAsia="微软雅黑"/>
          <w:b/>
          <w:sz w:val="24"/>
        </w:rPr>
        <w:t>公司金融部分：</w:t>
      </w:r>
    </w:p>
    <w:p>
      <w:pPr>
        <w:pStyle w:val="3"/>
        <w:spacing w:before="14"/>
        <w:ind w:left="600" w:firstLine="0"/>
      </w:pPr>
      <w:r>
        <w:t>一、公司概论与资本预算</w:t>
      </w:r>
    </w:p>
    <w:p>
      <w:pPr>
        <w:pStyle w:val="6"/>
        <w:numPr>
          <w:ilvl w:val="0"/>
          <w:numId w:val="21"/>
        </w:numPr>
        <w:tabs>
          <w:tab w:val="left" w:pos="962"/>
        </w:tabs>
        <w:spacing w:before="67" w:after="0" w:line="240" w:lineRule="auto"/>
        <w:ind w:left="961" w:right="0" w:hanging="362"/>
        <w:jc w:val="left"/>
        <w:rPr>
          <w:sz w:val="24"/>
        </w:rPr>
      </w:pPr>
      <w:r>
        <w:rPr>
          <w:sz w:val="24"/>
        </w:rPr>
        <w:t>公司概论：</w:t>
      </w:r>
    </w:p>
    <w:p>
      <w:pPr>
        <w:pStyle w:val="3"/>
        <w:ind w:left="600" w:firstLine="0"/>
      </w:pPr>
      <w:r>
        <w:rPr>
          <w:spacing w:val="-4"/>
        </w:rPr>
        <w:t>公司制企业、公司治理、公司目标、净营运资本、财务现金流量、杜邦分析</w:t>
      </w:r>
    </w:p>
    <w:p>
      <w:pPr>
        <w:pStyle w:val="6"/>
        <w:numPr>
          <w:ilvl w:val="0"/>
          <w:numId w:val="21"/>
        </w:numPr>
        <w:tabs>
          <w:tab w:val="left" w:pos="962"/>
        </w:tabs>
        <w:spacing w:before="67" w:after="0" w:line="240" w:lineRule="auto"/>
        <w:ind w:left="961" w:right="0" w:hanging="362"/>
        <w:jc w:val="left"/>
        <w:rPr>
          <w:sz w:val="24"/>
        </w:rPr>
      </w:pPr>
      <w:r>
        <w:rPr>
          <w:sz w:val="24"/>
        </w:rPr>
        <w:t>资本预算 ：</w:t>
      </w:r>
    </w:p>
    <w:p>
      <w:pPr>
        <w:pStyle w:val="3"/>
        <w:spacing w:line="292" w:lineRule="auto"/>
        <w:ind w:left="120" w:right="414" w:firstLine="480"/>
        <w:jc w:val="both"/>
      </w:pPr>
      <w:r>
        <w:t>净现值、年金、永续年金、永续增长年金、增长年金、股利折现模型 、股</w:t>
      </w:r>
      <w:r>
        <w:rPr>
          <w:spacing w:val="-1"/>
        </w:rPr>
        <w:t>利增长模型、二阶段股利模型、</w:t>
      </w:r>
      <w:r>
        <w:rPr>
          <w:rFonts w:ascii="Times New Roman" w:eastAsia="Times New Roman"/>
        </w:rPr>
        <w:t>NPVGO</w:t>
      </w:r>
      <w:r>
        <w:rPr>
          <w:rFonts w:ascii="Times New Roman" w:eastAsia="Times New Roman"/>
          <w:spacing w:val="-15"/>
        </w:rPr>
        <w:t xml:space="preserve"> </w:t>
      </w:r>
      <w:r>
        <w:t>模型、投资回收期、内部报酬率、盈利指数、约当成本法</w:t>
      </w:r>
    </w:p>
    <w:p>
      <w:pPr>
        <w:pStyle w:val="6"/>
        <w:numPr>
          <w:ilvl w:val="0"/>
          <w:numId w:val="21"/>
        </w:numPr>
        <w:tabs>
          <w:tab w:val="left" w:pos="962"/>
        </w:tabs>
        <w:spacing w:before="0" w:after="0" w:line="305" w:lineRule="exact"/>
        <w:ind w:left="961" w:right="0" w:hanging="362"/>
        <w:jc w:val="left"/>
        <w:rPr>
          <w:sz w:val="24"/>
        </w:rPr>
      </w:pPr>
      <w:r>
        <w:rPr>
          <w:sz w:val="24"/>
        </w:rPr>
        <w:t>风险分析与资本预算：</w:t>
      </w:r>
    </w:p>
    <w:p>
      <w:pPr>
        <w:pStyle w:val="3"/>
        <w:spacing w:line="292" w:lineRule="auto"/>
        <w:ind w:left="600" w:right="2005" w:firstLine="0"/>
      </w:pPr>
      <w:r>
        <w:rPr>
          <w:spacing w:val="-1"/>
        </w:rPr>
        <w:t>决策树、敏感性分析、情景分析、盈亏平衡分析、实物期权</w:t>
      </w:r>
      <w:r>
        <w:t>二、资本结构与股利政策</w:t>
      </w:r>
    </w:p>
    <w:p>
      <w:pPr>
        <w:pStyle w:val="6"/>
        <w:numPr>
          <w:ilvl w:val="0"/>
          <w:numId w:val="22"/>
        </w:numPr>
        <w:tabs>
          <w:tab w:val="left" w:pos="962"/>
        </w:tabs>
        <w:spacing w:before="0" w:after="0" w:line="306" w:lineRule="exact"/>
        <w:ind w:left="961" w:right="0" w:hanging="362"/>
        <w:jc w:val="left"/>
        <w:rPr>
          <w:sz w:val="24"/>
        </w:rPr>
      </w:pPr>
      <w:r>
        <w:rPr>
          <w:sz w:val="24"/>
        </w:rPr>
        <w:t>资本结构：</w:t>
      </w:r>
    </w:p>
    <w:p>
      <w:pPr>
        <w:pStyle w:val="3"/>
        <w:spacing w:line="292" w:lineRule="auto"/>
        <w:ind w:left="120" w:right="417" w:firstLine="480"/>
      </w:pPr>
      <w:r>
        <w:rPr>
          <w:rFonts w:ascii="Times New Roman" w:eastAsia="Times New Roman"/>
        </w:rPr>
        <w:t xml:space="preserve">MM </w:t>
      </w:r>
      <w:r>
        <w:rPr>
          <w:spacing w:val="-15"/>
        </w:rPr>
        <w:t xml:space="preserve">定理、有税收的 </w:t>
      </w:r>
      <w:r>
        <w:rPr>
          <w:rFonts w:ascii="Times New Roman" w:eastAsia="Times New Roman"/>
        </w:rPr>
        <w:t xml:space="preserve">MM </w:t>
      </w:r>
      <w:r>
        <w:rPr>
          <w:spacing w:val="-14"/>
        </w:rPr>
        <w:t>定理、财务困境成本、权衡理论、优序融资理论、</w:t>
      </w:r>
      <w:r>
        <w:t>自由现金流量假说</w:t>
      </w:r>
    </w:p>
    <w:p>
      <w:pPr>
        <w:pStyle w:val="6"/>
        <w:numPr>
          <w:ilvl w:val="0"/>
          <w:numId w:val="22"/>
        </w:numPr>
        <w:tabs>
          <w:tab w:val="left" w:pos="962"/>
        </w:tabs>
        <w:spacing w:before="0" w:after="0" w:line="306" w:lineRule="exact"/>
        <w:ind w:left="961" w:right="0" w:hanging="362"/>
        <w:jc w:val="left"/>
        <w:rPr>
          <w:sz w:val="24"/>
        </w:rPr>
      </w:pPr>
      <w:r>
        <w:rPr>
          <w:sz w:val="24"/>
        </w:rPr>
        <w:t>杠杆企业的估值：</w:t>
      </w:r>
    </w:p>
    <w:p>
      <w:pPr>
        <w:pStyle w:val="3"/>
        <w:ind w:left="600" w:firstLine="0"/>
      </w:pPr>
      <w:r>
        <w:rPr>
          <w:spacing w:val="-12"/>
        </w:rPr>
        <w:t>财务杠杆、经营杠杆、加权平均资本成本、</w:t>
      </w:r>
      <w:r>
        <w:rPr>
          <w:rFonts w:ascii="Times New Roman" w:eastAsia="Times New Roman"/>
          <w:spacing w:val="-1"/>
        </w:rPr>
        <w:t>APV</w:t>
      </w:r>
      <w:r>
        <w:rPr>
          <w:rFonts w:ascii="Times New Roman" w:eastAsia="Times New Roman"/>
        </w:rPr>
        <w:t xml:space="preserve"> </w:t>
      </w:r>
      <w:r>
        <w:rPr>
          <w:spacing w:val="-8"/>
        </w:rPr>
        <w:t>估值模型、</w:t>
      </w:r>
      <w:r>
        <w:rPr>
          <w:rFonts w:ascii="Times New Roman" w:eastAsia="Times New Roman"/>
          <w:spacing w:val="-1"/>
        </w:rPr>
        <w:t>FTE</w:t>
      </w:r>
      <w:r>
        <w:rPr>
          <w:rFonts w:ascii="Times New Roman" w:eastAsia="Times New Roman"/>
        </w:rPr>
        <w:t xml:space="preserve"> </w:t>
      </w:r>
      <w:r>
        <w:t>估值模型、</w:t>
      </w:r>
    </w:p>
    <w:p>
      <w:pPr>
        <w:pStyle w:val="3"/>
        <w:spacing w:before="66"/>
        <w:ind w:left="120" w:firstLine="0"/>
      </w:pPr>
      <w:r>
        <w:rPr>
          <w:rFonts w:ascii="Times New Roman" w:eastAsia="Times New Roman"/>
        </w:rPr>
        <w:t>WACC</w:t>
      </w:r>
      <w:r>
        <w:rPr>
          <w:rFonts w:ascii="Times New Roman" w:eastAsia="Times New Roman"/>
          <w:spacing w:val="-14"/>
        </w:rPr>
        <w:t xml:space="preserve"> </w:t>
      </w:r>
      <w:r>
        <w:t>估值模型</w:t>
      </w:r>
    </w:p>
    <w:p>
      <w:pPr>
        <w:spacing w:after="0"/>
        <w:sectPr>
          <w:pgSz w:w="11910" w:h="16840"/>
          <w:pgMar w:top="1360" w:right="1380" w:bottom="1080" w:left="1680" w:header="876" w:footer="882" w:gutter="0"/>
          <w:cols w:space="720" w:num="1"/>
        </w:sectPr>
      </w:pPr>
    </w:p>
    <w:p>
      <w:pPr>
        <w:pStyle w:val="6"/>
        <w:numPr>
          <w:ilvl w:val="0"/>
          <w:numId w:val="22"/>
        </w:numPr>
        <w:tabs>
          <w:tab w:val="left" w:pos="962"/>
        </w:tabs>
        <w:spacing w:before="96" w:after="0" w:line="240" w:lineRule="auto"/>
        <w:ind w:left="961" w:right="0" w:hanging="362"/>
        <w:jc w:val="left"/>
        <w:rPr>
          <w:sz w:val="24"/>
        </w:rPr>
      </w:pPr>
      <w:r>
        <w:rPr>
          <w:sz w:val="24"/>
        </w:rPr>
        <w:t>股利政策：</w:t>
      </w:r>
    </w:p>
    <w:p>
      <w:pPr>
        <w:pStyle w:val="3"/>
        <w:ind w:left="600" w:firstLine="0"/>
      </w:pPr>
      <w:r>
        <w:t>股利支付方式、股利政策类型、股利无关理论、股票回购</w:t>
      </w:r>
    </w:p>
    <w:p>
      <w:pPr>
        <w:pStyle w:val="6"/>
        <w:numPr>
          <w:ilvl w:val="0"/>
          <w:numId w:val="22"/>
        </w:numPr>
        <w:tabs>
          <w:tab w:val="left" w:pos="962"/>
        </w:tabs>
        <w:spacing w:before="67" w:after="0" w:line="240" w:lineRule="auto"/>
        <w:ind w:left="961" w:right="0" w:hanging="362"/>
        <w:jc w:val="left"/>
        <w:rPr>
          <w:sz w:val="24"/>
        </w:rPr>
      </w:pPr>
      <w:r>
        <w:rPr>
          <w:sz w:val="24"/>
        </w:rPr>
        <w:t>长期融资：</w:t>
      </w:r>
    </w:p>
    <w:p>
      <w:pPr>
        <w:pStyle w:val="3"/>
        <w:spacing w:line="292" w:lineRule="auto"/>
        <w:ind w:left="120" w:right="417" w:firstLine="480"/>
      </w:pPr>
      <w:r>
        <w:rPr>
          <w:rFonts w:ascii="Times New Roman" w:eastAsia="Times New Roman"/>
        </w:rPr>
        <w:t>IPO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-14"/>
        </w:rPr>
        <w:t>折价之谜、私募股权资本、长期负债发行 、可转换债券、认股权证、银</w:t>
      </w:r>
      <w:r>
        <w:t>团贷款、融资租赁、经营租赁</w:t>
      </w:r>
    </w:p>
    <w:p>
      <w:pPr>
        <w:pStyle w:val="3"/>
        <w:spacing w:before="0" w:line="306" w:lineRule="exact"/>
        <w:ind w:left="600" w:firstLine="0"/>
      </w:pPr>
      <w:r>
        <w:t>三、短期财务规划、现金管理与信用管理</w:t>
      </w:r>
    </w:p>
    <w:p>
      <w:pPr>
        <w:pStyle w:val="6"/>
        <w:numPr>
          <w:ilvl w:val="0"/>
          <w:numId w:val="23"/>
        </w:numPr>
        <w:tabs>
          <w:tab w:val="left" w:pos="962"/>
        </w:tabs>
        <w:spacing w:before="67" w:after="0" w:line="240" w:lineRule="auto"/>
        <w:ind w:left="961" w:right="0" w:hanging="362"/>
        <w:jc w:val="left"/>
        <w:rPr>
          <w:sz w:val="24"/>
        </w:rPr>
      </w:pPr>
      <w:r>
        <w:rPr>
          <w:sz w:val="24"/>
        </w:rPr>
        <w:t>短期财务规划：</w:t>
      </w:r>
    </w:p>
    <w:p>
      <w:pPr>
        <w:pStyle w:val="3"/>
        <w:spacing w:line="292" w:lineRule="auto"/>
        <w:ind w:left="120" w:right="418" w:firstLine="480"/>
      </w:pPr>
      <w:r>
        <w:rPr>
          <w:spacing w:val="-3"/>
        </w:rPr>
        <w:t>经营周期、现金周期、存货周转期、应收账款周转期、应付账款周转期、可</w:t>
      </w:r>
      <w:r>
        <w:t>持续的增长率</w:t>
      </w:r>
    </w:p>
    <w:p>
      <w:pPr>
        <w:pStyle w:val="6"/>
        <w:numPr>
          <w:ilvl w:val="0"/>
          <w:numId w:val="23"/>
        </w:numPr>
        <w:tabs>
          <w:tab w:val="left" w:pos="962"/>
        </w:tabs>
        <w:spacing w:before="0" w:after="0" w:line="306" w:lineRule="exact"/>
        <w:ind w:left="961" w:right="0" w:hanging="362"/>
        <w:jc w:val="left"/>
        <w:rPr>
          <w:sz w:val="24"/>
        </w:rPr>
      </w:pPr>
      <w:r>
        <w:rPr>
          <w:sz w:val="24"/>
        </w:rPr>
        <w:t>现金管理与信用管理 ：</w:t>
      </w:r>
    </w:p>
    <w:p>
      <w:pPr>
        <w:pStyle w:val="3"/>
        <w:spacing w:line="292" w:lineRule="auto"/>
        <w:ind w:left="600" w:right="3925" w:firstLine="0"/>
      </w:pPr>
      <w:r>
        <w:rPr>
          <w:spacing w:val="-1"/>
        </w:rPr>
        <w:t>鲍莫尔模型、最优信用政策、平均收款期</w:t>
      </w:r>
      <w:r>
        <w:t>四、企业并购、破产与重组收购兼并</w:t>
      </w:r>
    </w:p>
    <w:p>
      <w:pPr>
        <w:pStyle w:val="3"/>
        <w:spacing w:before="0" w:line="292" w:lineRule="auto"/>
        <w:ind w:left="600" w:right="2337" w:firstLine="0"/>
      </w:pPr>
      <w:r>
        <w:rPr>
          <w:spacing w:val="-1"/>
        </w:rPr>
        <w:t xml:space="preserve">协同效应、购买法、和解与破产、破产概率的 </w:t>
      </w:r>
      <w:r>
        <w:rPr>
          <w:rFonts w:ascii="Times New Roman" w:eastAsia="Times New Roman"/>
        </w:rPr>
        <w:t>Z</w:t>
      </w:r>
      <w:r>
        <w:rPr>
          <w:rFonts w:ascii="Times New Roman" w:eastAsia="Times New Roman"/>
          <w:spacing w:val="52"/>
        </w:rPr>
        <w:t xml:space="preserve"> </w:t>
      </w:r>
      <w:r>
        <w:t>值模型五、跨国公司金融</w:t>
      </w:r>
    </w:p>
    <w:p>
      <w:pPr>
        <w:pStyle w:val="6"/>
        <w:numPr>
          <w:ilvl w:val="0"/>
          <w:numId w:val="24"/>
        </w:numPr>
        <w:tabs>
          <w:tab w:val="left" w:pos="962"/>
        </w:tabs>
        <w:spacing w:before="0" w:after="0" w:line="306" w:lineRule="exact"/>
        <w:ind w:left="961" w:right="0" w:hanging="362"/>
        <w:jc w:val="left"/>
        <w:rPr>
          <w:sz w:val="24"/>
        </w:rPr>
      </w:pPr>
      <w:r>
        <w:rPr>
          <w:sz w:val="24"/>
        </w:rPr>
        <w:t>国际公司资本成本与结构</w:t>
      </w:r>
    </w:p>
    <w:p>
      <w:pPr>
        <w:pStyle w:val="3"/>
        <w:spacing w:before="65" w:line="292" w:lineRule="auto"/>
        <w:ind w:left="120" w:right="417" w:firstLine="480"/>
      </w:pPr>
      <w:r>
        <w:rPr>
          <w:spacing w:val="-3"/>
        </w:rPr>
        <w:t>分割市场下的权益资本成本、一体化市场下的权益资本成本、汇率变化对债</w:t>
      </w:r>
      <w:r>
        <w:t>务成本的影响、国际公司资本结构影响因素、国际公司资本预算</w:t>
      </w:r>
    </w:p>
    <w:p>
      <w:pPr>
        <w:pStyle w:val="6"/>
        <w:numPr>
          <w:ilvl w:val="0"/>
          <w:numId w:val="24"/>
        </w:numPr>
        <w:tabs>
          <w:tab w:val="left" w:pos="962"/>
        </w:tabs>
        <w:spacing w:before="0" w:after="0" w:line="306" w:lineRule="exact"/>
        <w:ind w:left="961" w:right="0" w:hanging="362"/>
        <w:jc w:val="left"/>
        <w:rPr>
          <w:sz w:val="24"/>
        </w:rPr>
      </w:pPr>
      <w:r>
        <w:rPr>
          <w:sz w:val="24"/>
        </w:rPr>
        <w:t>国际税收环境与跨国经营</w:t>
      </w:r>
    </w:p>
    <w:p>
      <w:pPr>
        <w:pStyle w:val="3"/>
        <w:ind w:left="600" w:firstLine="0"/>
      </w:pPr>
      <w:r>
        <w:t>税收管辖权、税收递延与抵扣、国际避税策略、转移定价</w:t>
      </w:r>
    </w:p>
    <w:p>
      <w:pPr>
        <w:pStyle w:val="6"/>
        <w:numPr>
          <w:ilvl w:val="0"/>
          <w:numId w:val="24"/>
        </w:numPr>
        <w:tabs>
          <w:tab w:val="left" w:pos="962"/>
        </w:tabs>
        <w:spacing w:before="67" w:after="0" w:line="240" w:lineRule="auto"/>
        <w:ind w:left="961" w:right="0" w:hanging="362"/>
        <w:jc w:val="left"/>
        <w:rPr>
          <w:sz w:val="24"/>
        </w:rPr>
      </w:pPr>
      <w:r>
        <w:rPr>
          <w:sz w:val="24"/>
        </w:rPr>
        <w:t>国际证券组合投资</w:t>
      </w:r>
    </w:p>
    <w:p>
      <w:pPr>
        <w:pStyle w:val="3"/>
        <w:ind w:left="600" w:firstLine="0"/>
      </w:pPr>
      <w:r>
        <w:t>国际证券组合投资渠道、本国偏好之谜</w:t>
      </w:r>
    </w:p>
    <w:p>
      <w:pPr>
        <w:spacing w:after="0"/>
        <w:sectPr>
          <w:pgSz w:w="11910" w:h="16840"/>
          <w:pgMar w:top="1360" w:right="1380" w:bottom="1080" w:left="1680" w:header="876" w:footer="882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3675380</wp:posOffset>
              </wp:positionH>
              <wp:positionV relativeFrom="page">
                <wp:posOffset>9992360</wp:posOffset>
              </wp:positionV>
              <wp:extent cx="223520" cy="1733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52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rFonts w:ascii="Times New Roman"/>
                              <w:b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4pt;margin-top:786.8pt;height:13.65pt;width:17.6pt;mso-position-horizontal-relative:page;mso-position-vertical-relative:page;z-index:-251656192;mso-width-relative:page;mso-height-relative:page;" filled="f" stroked="f" coordsize="21600,21600" o:gfxdata="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wF+qDbAAAADQEAAA8AAAAAAAAAAQAgAAAAIgAAAGRycy9kb3ducmV2LnhtbFBL&#10;AQIUABQAAAAIAIdO4kACQa9gugEAAHEDAAAOAAAAAAAAAAEAIAAAACoBAABkcnMvZTJvRG9jLnht&#10;bFBLBQYAAAAABgAGAFkBAABW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rFonts w:ascii="Times New Roman"/>
                        <w:b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725805</wp:posOffset>
              </wp:positionV>
              <wp:extent cx="5313045" cy="889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304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88.5pt;margin-top:57.15pt;height:0.7pt;width:418.35pt;mso-position-horizontal-relative:page;mso-position-vertical-relative:page;z-index:-251657216;mso-width-relative:page;mso-height-relative:page;" fillcolor="#000000" filled="t" stroked="f" coordsize="21600,21600" o:gfxdata="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T3XPHtoAAAAMAQAADwAAAAAAAAABACAAAAAiAAAAZHJzL2Rvd25yZXYueG1sUEsBAhQAFAAAAAgA&#10;h07iQCrkc2qxAQAAXQMAAA4AAAAAAAAAAQAgAAAAKQEAAGRycy9lMm9Eb2MueG1sUEsFBgAAAAAG&#10;AAYAWQEAAEwFAAAAAA==&#10;">
              <v:path/>
              <v:fill on="t" focussize="0,0"/>
              <v:stroke on="f"/>
              <v:imagedata o:title=""/>
              <o:lock v:ext="edi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3315335</wp:posOffset>
              </wp:positionH>
              <wp:positionV relativeFrom="page">
                <wp:posOffset>543560</wp:posOffset>
              </wp:positionV>
              <wp:extent cx="930910" cy="1733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091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73" w:lineRule="exact"/>
                            <w:ind w:left="20" w:right="0" w:firstLine="0"/>
                            <w:jc w:val="left"/>
                            <w:rPr>
                              <w:rFonts w:hint="eastAsia" w:ascii="微软雅黑" w:eastAsia="微软雅黑"/>
                              <w:b/>
                              <w:sz w:val="21"/>
                            </w:rPr>
                          </w:pPr>
                          <w:r>
                            <w:rPr>
                              <w:rFonts w:ascii="Times New Roman" w:eastAsia="Times New Roman"/>
                              <w:b/>
                              <w:sz w:val="21"/>
                            </w:rPr>
                            <w:t>806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eastAsia="微软雅黑"/>
                              <w:b/>
                              <w:sz w:val="21"/>
                            </w:rPr>
                            <w:t>金融学基础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1.05pt;margin-top:42.8pt;height:13.65pt;width:73.3pt;mso-position-horizontal-relative:page;mso-position-vertical-relative:page;z-index:-251656192;mso-width-relative:page;mso-height-relative:page;" filled="f" stroked="f" coordsize="21600,21600" o:gfxdata="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h/sBy2QAAAAoBAAAPAAAAAAAAAAEAIAAAACIAAABkcnMvZG93bnJldi54bWxQSwEC&#10;FAAUAAAACACHTuJAVD0hSboBAABxAwAADgAAAAAAAAABACAAAAAoAQAAZHJzL2Uyb0RvYy54bWxQ&#10;SwUGAAAAAAYABgBZAQAAVA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3" w:lineRule="exact"/>
                      <w:ind w:left="20" w:right="0" w:firstLine="0"/>
                      <w:jc w:val="left"/>
                      <w:rPr>
                        <w:rFonts w:hint="eastAsia" w:ascii="微软雅黑" w:eastAsia="微软雅黑"/>
                        <w:b/>
                        <w:sz w:val="21"/>
                      </w:rPr>
                    </w:pPr>
                    <w:r>
                      <w:rPr>
                        <w:rFonts w:ascii="Times New Roman" w:eastAsia="Times New Roman"/>
                        <w:b/>
                        <w:sz w:val="21"/>
                      </w:rPr>
                      <w:t>806</w:t>
                    </w:r>
                    <w:r>
                      <w:rPr>
                        <w:rFonts w:ascii="Times New Roman" w:eastAsia="Times New Roman"/>
                        <w:b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rFonts w:hint="eastAsia" w:ascii="微软雅黑" w:eastAsia="微软雅黑"/>
                        <w:b/>
                        <w:sz w:val="21"/>
                      </w:rPr>
                      <w:t>金融学基础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7BA21"/>
    <w:multiLevelType w:val="multilevel"/>
    <w:tmpl w:val="9017BA21"/>
    <w:lvl w:ilvl="0" w:tentative="0">
      <w:start w:val="1"/>
      <w:numFmt w:val="decimal"/>
      <w:lvlText w:val="（%1）"/>
      <w:lvlJc w:val="left"/>
      <w:pPr>
        <w:ind w:left="1201" w:hanging="60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964" w:hanging="6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729" w:hanging="6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93" w:hanging="6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58" w:hanging="6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23" w:hanging="6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87" w:hanging="6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52" w:hanging="6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317" w:hanging="601"/>
      </w:pPr>
      <w:rPr>
        <w:rFonts w:hint="default"/>
        <w:lang w:val="en-US" w:eastAsia="zh-CN" w:bidi="ar-SA"/>
      </w:rPr>
    </w:lvl>
  </w:abstractNum>
  <w:abstractNum w:abstractNumId="1">
    <w:nsid w:val="952530A5"/>
    <w:multiLevelType w:val="multilevel"/>
    <w:tmpl w:val="952530A5"/>
    <w:lvl w:ilvl="0" w:tentative="0">
      <w:start w:val="1"/>
      <w:numFmt w:val="decimal"/>
      <w:lvlText w:val="%1."/>
      <w:lvlJc w:val="left"/>
      <w:pPr>
        <w:ind w:left="96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48" w:hanging="36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37" w:hanging="36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325" w:hanging="36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14" w:hanging="36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03" w:hanging="36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91" w:hanging="36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80" w:hanging="36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69" w:hanging="361"/>
      </w:pPr>
      <w:rPr>
        <w:rFonts w:hint="default"/>
        <w:lang w:val="en-US" w:eastAsia="zh-CN" w:bidi="ar-SA"/>
      </w:rPr>
    </w:lvl>
  </w:abstractNum>
  <w:abstractNum w:abstractNumId="2">
    <w:nsid w:val="9B1F845E"/>
    <w:multiLevelType w:val="multilevel"/>
    <w:tmpl w:val="9B1F845E"/>
    <w:lvl w:ilvl="0" w:tentative="0">
      <w:start w:val="1"/>
      <w:numFmt w:val="decimal"/>
      <w:lvlText w:val="%1."/>
      <w:lvlJc w:val="left"/>
      <w:pPr>
        <w:ind w:left="96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48" w:hanging="36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37" w:hanging="36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325" w:hanging="36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14" w:hanging="36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03" w:hanging="36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91" w:hanging="36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80" w:hanging="36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69" w:hanging="361"/>
      </w:pPr>
      <w:rPr>
        <w:rFonts w:hint="default"/>
        <w:lang w:val="en-US" w:eastAsia="zh-CN" w:bidi="ar-SA"/>
      </w:rPr>
    </w:lvl>
  </w:abstractNum>
  <w:abstractNum w:abstractNumId="3">
    <w:nsid w:val="9C919DE1"/>
    <w:multiLevelType w:val="multilevel"/>
    <w:tmpl w:val="9C919DE1"/>
    <w:lvl w:ilvl="0" w:tentative="0">
      <w:start w:val="1"/>
      <w:numFmt w:val="decimal"/>
      <w:lvlText w:val="%1."/>
      <w:lvlJc w:val="left"/>
      <w:pPr>
        <w:ind w:left="96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48" w:hanging="36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37" w:hanging="36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325" w:hanging="36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14" w:hanging="36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03" w:hanging="36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91" w:hanging="36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80" w:hanging="36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69" w:hanging="361"/>
      </w:pPr>
      <w:rPr>
        <w:rFonts w:hint="default"/>
        <w:lang w:val="en-US" w:eastAsia="zh-CN" w:bidi="ar-SA"/>
      </w:rPr>
    </w:lvl>
  </w:abstractNum>
  <w:abstractNum w:abstractNumId="4">
    <w:nsid w:val="9CD0C84A"/>
    <w:multiLevelType w:val="multilevel"/>
    <w:tmpl w:val="9CD0C84A"/>
    <w:lvl w:ilvl="0" w:tentative="0">
      <w:start w:val="1"/>
      <w:numFmt w:val="decimal"/>
      <w:lvlText w:val="（%1）"/>
      <w:lvlJc w:val="left"/>
      <w:pPr>
        <w:ind w:left="1201" w:hanging="60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964" w:hanging="6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729" w:hanging="6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93" w:hanging="6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58" w:hanging="6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23" w:hanging="6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87" w:hanging="6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52" w:hanging="6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317" w:hanging="601"/>
      </w:pPr>
      <w:rPr>
        <w:rFonts w:hint="default"/>
        <w:lang w:val="en-US" w:eastAsia="zh-CN" w:bidi="ar-SA"/>
      </w:rPr>
    </w:lvl>
  </w:abstractNum>
  <w:abstractNum w:abstractNumId="5">
    <w:nsid w:val="9D9F4F4D"/>
    <w:multiLevelType w:val="multilevel"/>
    <w:tmpl w:val="9D9F4F4D"/>
    <w:lvl w:ilvl="0" w:tentative="0">
      <w:start w:val="1"/>
      <w:numFmt w:val="decimal"/>
      <w:lvlText w:val="%1."/>
      <w:lvlJc w:val="left"/>
      <w:pPr>
        <w:ind w:left="96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48" w:hanging="36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37" w:hanging="36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325" w:hanging="36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14" w:hanging="36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03" w:hanging="36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91" w:hanging="36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80" w:hanging="36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69" w:hanging="361"/>
      </w:pPr>
      <w:rPr>
        <w:rFonts w:hint="default"/>
        <w:lang w:val="en-US" w:eastAsia="zh-CN" w:bidi="ar-SA"/>
      </w:rPr>
    </w:lvl>
  </w:abstractNum>
  <w:abstractNum w:abstractNumId="6">
    <w:nsid w:val="9F91FE98"/>
    <w:multiLevelType w:val="multilevel"/>
    <w:tmpl w:val="9F91FE98"/>
    <w:lvl w:ilvl="0" w:tentative="0">
      <w:start w:val="1"/>
      <w:numFmt w:val="decimal"/>
      <w:lvlText w:val="（%1）"/>
      <w:lvlJc w:val="left"/>
      <w:pPr>
        <w:ind w:left="1201" w:hanging="60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964" w:hanging="6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729" w:hanging="6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93" w:hanging="6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58" w:hanging="6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23" w:hanging="6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87" w:hanging="6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52" w:hanging="6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317" w:hanging="601"/>
      </w:pPr>
      <w:rPr>
        <w:rFonts w:hint="default"/>
        <w:lang w:val="en-US" w:eastAsia="zh-CN" w:bidi="ar-SA"/>
      </w:rPr>
    </w:lvl>
  </w:abstractNum>
  <w:abstractNum w:abstractNumId="7">
    <w:nsid w:val="B15ABE86"/>
    <w:multiLevelType w:val="multilevel"/>
    <w:tmpl w:val="B15ABE86"/>
    <w:lvl w:ilvl="0" w:tentative="0">
      <w:start w:val="1"/>
      <w:numFmt w:val="decimal"/>
      <w:lvlText w:val="%1."/>
      <w:lvlJc w:val="left"/>
      <w:pPr>
        <w:ind w:left="96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48" w:hanging="36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37" w:hanging="36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325" w:hanging="36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14" w:hanging="36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03" w:hanging="36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91" w:hanging="36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80" w:hanging="36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69" w:hanging="361"/>
      </w:pPr>
      <w:rPr>
        <w:rFonts w:hint="default"/>
        <w:lang w:val="en-US" w:eastAsia="zh-CN" w:bidi="ar-SA"/>
      </w:rPr>
    </w:lvl>
  </w:abstractNum>
  <w:abstractNum w:abstractNumId="8">
    <w:nsid w:val="B99465BD"/>
    <w:multiLevelType w:val="multilevel"/>
    <w:tmpl w:val="B99465BD"/>
    <w:lvl w:ilvl="0" w:tentative="0">
      <w:start w:val="1"/>
      <w:numFmt w:val="decimal"/>
      <w:lvlText w:val="%1."/>
      <w:lvlJc w:val="left"/>
      <w:pPr>
        <w:ind w:left="120" w:hanging="3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1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992" w:hanging="36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865" w:hanging="36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37" w:hanging="36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610" w:hanging="36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483" w:hanging="36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355" w:hanging="36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228" w:hanging="36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01" w:hanging="363"/>
      </w:pPr>
      <w:rPr>
        <w:rFonts w:hint="default"/>
        <w:lang w:val="en-US" w:eastAsia="zh-CN" w:bidi="ar-SA"/>
      </w:rPr>
    </w:lvl>
  </w:abstractNum>
  <w:abstractNum w:abstractNumId="9">
    <w:nsid w:val="BA550FDB"/>
    <w:multiLevelType w:val="multilevel"/>
    <w:tmpl w:val="BA550FDB"/>
    <w:lvl w:ilvl="0" w:tentative="0">
      <w:start w:val="1"/>
      <w:numFmt w:val="decimal"/>
      <w:lvlText w:val="%1."/>
      <w:lvlJc w:val="left"/>
      <w:pPr>
        <w:ind w:left="96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48" w:hanging="36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37" w:hanging="36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325" w:hanging="36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14" w:hanging="36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03" w:hanging="36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91" w:hanging="36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80" w:hanging="36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69" w:hanging="361"/>
      </w:pPr>
      <w:rPr>
        <w:rFonts w:hint="default"/>
        <w:lang w:val="en-US" w:eastAsia="zh-CN" w:bidi="ar-SA"/>
      </w:rPr>
    </w:lvl>
  </w:abstractNum>
  <w:abstractNum w:abstractNumId="10">
    <w:nsid w:val="CB0CECA5"/>
    <w:multiLevelType w:val="multilevel"/>
    <w:tmpl w:val="CB0CECA5"/>
    <w:lvl w:ilvl="0" w:tentative="0">
      <w:start w:val="1"/>
      <w:numFmt w:val="decimal"/>
      <w:lvlText w:val="%1."/>
      <w:lvlJc w:val="left"/>
      <w:pPr>
        <w:ind w:left="96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48" w:hanging="36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37" w:hanging="36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325" w:hanging="36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14" w:hanging="36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03" w:hanging="36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91" w:hanging="36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80" w:hanging="36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69" w:hanging="361"/>
      </w:pPr>
      <w:rPr>
        <w:rFonts w:hint="default"/>
        <w:lang w:val="en-US" w:eastAsia="zh-CN" w:bidi="ar-SA"/>
      </w:rPr>
    </w:lvl>
  </w:abstractNum>
  <w:abstractNum w:abstractNumId="11">
    <w:nsid w:val="EFCECDC7"/>
    <w:multiLevelType w:val="multilevel"/>
    <w:tmpl w:val="EFCECDC7"/>
    <w:lvl w:ilvl="0" w:tentative="0">
      <w:start w:val="1"/>
      <w:numFmt w:val="decimal"/>
      <w:lvlText w:val="%1."/>
      <w:lvlJc w:val="left"/>
      <w:pPr>
        <w:ind w:left="96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48" w:hanging="36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37" w:hanging="36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325" w:hanging="36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14" w:hanging="36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03" w:hanging="36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91" w:hanging="36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80" w:hanging="36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69" w:hanging="361"/>
      </w:pPr>
      <w:rPr>
        <w:rFonts w:hint="default"/>
        <w:lang w:val="en-US" w:eastAsia="zh-CN" w:bidi="ar-SA"/>
      </w:rPr>
    </w:lvl>
  </w:abstractNum>
  <w:abstractNum w:abstractNumId="12">
    <w:nsid w:val="F97CED97"/>
    <w:multiLevelType w:val="multilevel"/>
    <w:tmpl w:val="F97CED97"/>
    <w:lvl w:ilvl="0" w:tentative="0">
      <w:start w:val="1"/>
      <w:numFmt w:val="decimal"/>
      <w:lvlText w:val="%1."/>
      <w:lvlJc w:val="left"/>
      <w:pPr>
        <w:ind w:left="962" w:hanging="3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1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48" w:hanging="36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37" w:hanging="36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325" w:hanging="36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14" w:hanging="36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03" w:hanging="36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91" w:hanging="36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80" w:hanging="36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69" w:hanging="363"/>
      </w:pPr>
      <w:rPr>
        <w:rFonts w:hint="default"/>
        <w:lang w:val="en-US" w:eastAsia="zh-CN" w:bidi="ar-SA"/>
      </w:rPr>
    </w:lvl>
  </w:abstractNum>
  <w:abstractNum w:abstractNumId="13">
    <w:nsid w:val="FCC85EE2"/>
    <w:multiLevelType w:val="multilevel"/>
    <w:tmpl w:val="FCC85EE2"/>
    <w:lvl w:ilvl="0" w:tentative="0">
      <w:start w:val="801"/>
      <w:numFmt w:val="decimal"/>
      <w:lvlText w:val="%1"/>
      <w:lvlJc w:val="left"/>
      <w:pPr>
        <w:ind w:left="1022" w:hanging="42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96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20" w:hanging="36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610" w:hanging="36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201" w:hanging="36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792" w:hanging="36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383" w:hanging="36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974" w:hanging="36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565" w:hanging="361"/>
      </w:pPr>
      <w:rPr>
        <w:rFonts w:hint="default"/>
        <w:lang w:val="en-US" w:eastAsia="zh-CN" w:bidi="ar-SA"/>
      </w:rPr>
    </w:lvl>
  </w:abstractNum>
  <w:abstractNum w:abstractNumId="14">
    <w:nsid w:val="0258E135"/>
    <w:multiLevelType w:val="multilevel"/>
    <w:tmpl w:val="0258E135"/>
    <w:lvl w:ilvl="0" w:tentative="0">
      <w:start w:val="1"/>
      <w:numFmt w:val="decimal"/>
      <w:lvlText w:val="（%1）"/>
      <w:lvlJc w:val="left"/>
      <w:pPr>
        <w:ind w:left="1201" w:hanging="60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964" w:hanging="6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729" w:hanging="6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93" w:hanging="6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58" w:hanging="6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23" w:hanging="6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87" w:hanging="6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52" w:hanging="6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317" w:hanging="601"/>
      </w:pPr>
      <w:rPr>
        <w:rFonts w:hint="default"/>
        <w:lang w:val="en-US" w:eastAsia="zh-CN" w:bidi="ar-SA"/>
      </w:rPr>
    </w:lvl>
  </w:abstractNum>
  <w:abstractNum w:abstractNumId="15">
    <w:nsid w:val="07F2E950"/>
    <w:multiLevelType w:val="multilevel"/>
    <w:tmpl w:val="07F2E950"/>
    <w:lvl w:ilvl="0" w:tentative="0">
      <w:start w:val="1"/>
      <w:numFmt w:val="decimal"/>
      <w:lvlText w:val="（%1）"/>
      <w:lvlJc w:val="left"/>
      <w:pPr>
        <w:ind w:left="1201" w:hanging="60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964" w:hanging="6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729" w:hanging="6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93" w:hanging="6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58" w:hanging="6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23" w:hanging="6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87" w:hanging="6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52" w:hanging="6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317" w:hanging="601"/>
      </w:pPr>
      <w:rPr>
        <w:rFonts w:hint="default"/>
        <w:lang w:val="en-US" w:eastAsia="zh-CN" w:bidi="ar-SA"/>
      </w:rPr>
    </w:lvl>
  </w:abstractNum>
  <w:abstractNum w:abstractNumId="16">
    <w:nsid w:val="0CCB9E98"/>
    <w:multiLevelType w:val="multilevel"/>
    <w:tmpl w:val="0CCB9E98"/>
    <w:lvl w:ilvl="0" w:tentative="0">
      <w:start w:val="1"/>
      <w:numFmt w:val="decimal"/>
      <w:lvlText w:val="%1."/>
      <w:lvlJc w:val="left"/>
      <w:pPr>
        <w:ind w:left="120" w:hanging="3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1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992" w:hanging="36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865" w:hanging="36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37" w:hanging="36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610" w:hanging="36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483" w:hanging="36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355" w:hanging="36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228" w:hanging="36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01" w:hanging="363"/>
      </w:pPr>
      <w:rPr>
        <w:rFonts w:hint="default"/>
        <w:lang w:val="en-US" w:eastAsia="zh-CN" w:bidi="ar-SA"/>
      </w:rPr>
    </w:lvl>
  </w:abstractNum>
  <w:abstractNum w:abstractNumId="17">
    <w:nsid w:val="0F929F01"/>
    <w:multiLevelType w:val="multilevel"/>
    <w:tmpl w:val="0F929F01"/>
    <w:lvl w:ilvl="0" w:tentative="0">
      <w:start w:val="1"/>
      <w:numFmt w:val="decimal"/>
      <w:lvlText w:val="%1."/>
      <w:lvlJc w:val="left"/>
      <w:pPr>
        <w:ind w:left="96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48" w:hanging="36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37" w:hanging="36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325" w:hanging="36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14" w:hanging="36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03" w:hanging="36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91" w:hanging="36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80" w:hanging="36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69" w:hanging="361"/>
      </w:pPr>
      <w:rPr>
        <w:rFonts w:hint="default"/>
        <w:lang w:val="en-US" w:eastAsia="zh-CN" w:bidi="ar-SA"/>
      </w:rPr>
    </w:lvl>
  </w:abstractNum>
  <w:abstractNum w:abstractNumId="18">
    <w:nsid w:val="192B173A"/>
    <w:multiLevelType w:val="multilevel"/>
    <w:tmpl w:val="192B173A"/>
    <w:lvl w:ilvl="0" w:tentative="0">
      <w:start w:val="1"/>
      <w:numFmt w:val="decimal"/>
      <w:lvlText w:val="%1."/>
      <w:lvlJc w:val="left"/>
      <w:pPr>
        <w:ind w:left="96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48" w:hanging="36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37" w:hanging="36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325" w:hanging="36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14" w:hanging="36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03" w:hanging="36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91" w:hanging="36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80" w:hanging="36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69" w:hanging="361"/>
      </w:pPr>
      <w:rPr>
        <w:rFonts w:hint="default"/>
        <w:lang w:val="en-US" w:eastAsia="zh-CN" w:bidi="ar-SA"/>
      </w:rPr>
    </w:lvl>
  </w:abstractNum>
  <w:abstractNum w:abstractNumId="19">
    <w:nsid w:val="3664A4D1"/>
    <w:multiLevelType w:val="multilevel"/>
    <w:tmpl w:val="3664A4D1"/>
    <w:lvl w:ilvl="0" w:tentative="0">
      <w:start w:val="1"/>
      <w:numFmt w:val="decimal"/>
      <w:lvlText w:val="（%1）"/>
      <w:lvlJc w:val="left"/>
      <w:pPr>
        <w:ind w:left="1201" w:hanging="60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964" w:hanging="6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729" w:hanging="6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93" w:hanging="6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58" w:hanging="6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23" w:hanging="6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87" w:hanging="6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52" w:hanging="6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317" w:hanging="601"/>
      </w:pPr>
      <w:rPr>
        <w:rFonts w:hint="default"/>
        <w:lang w:val="en-US" w:eastAsia="zh-CN" w:bidi="ar-SA"/>
      </w:rPr>
    </w:lvl>
  </w:abstractNum>
  <w:abstractNum w:abstractNumId="20">
    <w:nsid w:val="4E709187"/>
    <w:multiLevelType w:val="multilevel"/>
    <w:tmpl w:val="4E709187"/>
    <w:lvl w:ilvl="0" w:tentative="0">
      <w:start w:val="1"/>
      <w:numFmt w:val="decimal"/>
      <w:lvlText w:val="%1."/>
      <w:lvlJc w:val="left"/>
      <w:pPr>
        <w:ind w:left="96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48" w:hanging="36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37" w:hanging="36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325" w:hanging="36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14" w:hanging="36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03" w:hanging="36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91" w:hanging="36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80" w:hanging="36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69" w:hanging="361"/>
      </w:pPr>
      <w:rPr>
        <w:rFonts w:hint="default"/>
        <w:lang w:val="en-US" w:eastAsia="zh-CN" w:bidi="ar-SA"/>
      </w:rPr>
    </w:lvl>
  </w:abstractNum>
  <w:abstractNum w:abstractNumId="21">
    <w:nsid w:val="4EA76503"/>
    <w:multiLevelType w:val="multilevel"/>
    <w:tmpl w:val="4EA76503"/>
    <w:lvl w:ilvl="0" w:tentative="0">
      <w:start w:val="1"/>
      <w:numFmt w:val="decimal"/>
      <w:lvlText w:val="%1."/>
      <w:lvlJc w:val="left"/>
      <w:pPr>
        <w:ind w:left="96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48" w:hanging="36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37" w:hanging="36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325" w:hanging="36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14" w:hanging="36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03" w:hanging="36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91" w:hanging="36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80" w:hanging="36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69" w:hanging="361"/>
      </w:pPr>
      <w:rPr>
        <w:rFonts w:hint="default"/>
        <w:lang w:val="en-US" w:eastAsia="zh-CN" w:bidi="ar-SA"/>
      </w:rPr>
    </w:lvl>
  </w:abstractNum>
  <w:abstractNum w:abstractNumId="22">
    <w:nsid w:val="598DAF6D"/>
    <w:multiLevelType w:val="multilevel"/>
    <w:tmpl w:val="598DAF6D"/>
    <w:lvl w:ilvl="0" w:tentative="0">
      <w:start w:val="1"/>
      <w:numFmt w:val="decimal"/>
      <w:lvlText w:val="（%1）"/>
      <w:lvlJc w:val="left"/>
      <w:pPr>
        <w:ind w:left="1201" w:hanging="60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964" w:hanging="6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729" w:hanging="6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93" w:hanging="6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58" w:hanging="6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23" w:hanging="6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87" w:hanging="6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52" w:hanging="6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317" w:hanging="601"/>
      </w:pPr>
      <w:rPr>
        <w:rFonts w:hint="default"/>
        <w:lang w:val="en-US" w:eastAsia="zh-CN" w:bidi="ar-SA"/>
      </w:rPr>
    </w:lvl>
  </w:abstractNum>
  <w:abstractNum w:abstractNumId="23">
    <w:nsid w:val="651422BE"/>
    <w:multiLevelType w:val="multilevel"/>
    <w:tmpl w:val="651422BE"/>
    <w:lvl w:ilvl="0" w:tentative="0">
      <w:start w:val="1"/>
      <w:numFmt w:val="decimal"/>
      <w:lvlText w:val="%1."/>
      <w:lvlJc w:val="left"/>
      <w:pPr>
        <w:ind w:left="96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48" w:hanging="36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37" w:hanging="36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325" w:hanging="36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14" w:hanging="36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03" w:hanging="36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91" w:hanging="36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80" w:hanging="36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69" w:hanging="361"/>
      </w:pPr>
      <w:rPr>
        <w:rFonts w:hint="default"/>
        <w:lang w:val="en-US" w:eastAsia="zh-CN" w:bidi="ar-SA"/>
      </w:r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8"/>
  </w:num>
  <w:num w:numId="5">
    <w:abstractNumId w:val="5"/>
  </w:num>
  <w:num w:numId="6">
    <w:abstractNumId w:val="18"/>
  </w:num>
  <w:num w:numId="7">
    <w:abstractNumId w:val="12"/>
  </w:num>
  <w:num w:numId="8">
    <w:abstractNumId w:val="9"/>
  </w:num>
  <w:num w:numId="9">
    <w:abstractNumId w:val="7"/>
  </w:num>
  <w:num w:numId="10">
    <w:abstractNumId w:val="16"/>
  </w:num>
  <w:num w:numId="11">
    <w:abstractNumId w:val="17"/>
  </w:num>
  <w:num w:numId="12">
    <w:abstractNumId w:val="19"/>
  </w:num>
  <w:num w:numId="13">
    <w:abstractNumId w:val="14"/>
  </w:num>
  <w:num w:numId="14">
    <w:abstractNumId w:val="2"/>
  </w:num>
  <w:num w:numId="15">
    <w:abstractNumId w:val="22"/>
  </w:num>
  <w:num w:numId="16">
    <w:abstractNumId w:val="6"/>
  </w:num>
  <w:num w:numId="17">
    <w:abstractNumId w:val="0"/>
  </w:num>
  <w:num w:numId="18">
    <w:abstractNumId w:val="20"/>
  </w:num>
  <w:num w:numId="19">
    <w:abstractNumId w:val="4"/>
  </w:num>
  <w:num w:numId="20">
    <w:abstractNumId w:val="15"/>
  </w:num>
  <w:num w:numId="21">
    <w:abstractNumId w:val="11"/>
  </w:num>
  <w:num w:numId="22">
    <w:abstractNumId w:val="3"/>
  </w:num>
  <w:num w:numId="23">
    <w:abstractNumId w:val="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YWNkZDgzYzBiYTI3MTMwOTI2MGI5ZTVmNjZjYjkifQ=="/>
  </w:docVars>
  <w:rsids>
    <w:rsidRoot w:val="00000000"/>
    <w:rsid w:val="31B6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left="602"/>
      <w:outlineLvl w:val="1"/>
    </w:pPr>
    <w:rPr>
      <w:rFonts w:ascii="微软雅黑" w:hAnsi="微软雅黑" w:eastAsia="微软雅黑" w:cs="微软雅黑"/>
      <w:b/>
      <w:bCs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67"/>
      <w:ind w:left="961" w:hanging="362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6">
    <w:name w:val="List Paragraph"/>
    <w:basedOn w:val="1"/>
    <w:autoRedefine/>
    <w:qFormat/>
    <w:uiPriority w:val="1"/>
    <w:pPr>
      <w:spacing w:before="67"/>
      <w:ind w:left="961" w:hanging="362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2024-02-18T07:02:10Z</dcterms:created>
  <dc:creator>125</dc:creator>
  <cp:lastModifiedBy>happy</cp:lastModifiedBy>
  <dcterms:modified xsi:type="dcterms:W3CDTF">2024-02-18T07:02:36Z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441ADC8D9AF44EC099B105368BF4093C_12</vt:lpwstr>
  </property>
</Properties>
</file>