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1"/>
      </w:pPr>
      <w:r>
        <w:t>一、考试总体要求</w:t>
      </w:r>
    </w:p>
    <w:p>
      <w:pPr>
        <w:pStyle w:val="2"/>
        <w:spacing w:before="43" w:line="278" w:lineRule="auto"/>
        <w:ind w:right="611" w:firstLine="419"/>
        <w:jc w:val="both"/>
      </w:pPr>
      <w:r>
        <w:rPr>
          <w:spacing w:val="-4"/>
        </w:rPr>
        <w:t>要求考生系统地掌握细胞生物学的基本内容和主要研究方法，掌握生命体最基本的结构</w:t>
      </w:r>
      <w:r>
        <w:rPr>
          <w:spacing w:val="-3"/>
        </w:rPr>
        <w:t>与功能单位，细胞结构与功能的密切关系，理解细胞信号传递与多种生命活动之间的密切关系，理解细胞生命活动的规律等最基本的基础理论知识，同时还要求考生掌握细胞生物学研</w:t>
      </w:r>
      <w:r>
        <w:t>究领域中的最新的研究进展和成就，具备较强的分析问题与解决问题的能力。</w:t>
      </w:r>
    </w:p>
    <w:p>
      <w:pPr>
        <w:pStyle w:val="2"/>
        <w:spacing w:line="269" w:lineRule="exact"/>
      </w:pPr>
      <w:r>
        <w:t>二、考试内容</w:t>
      </w:r>
    </w:p>
    <w:p>
      <w:pPr>
        <w:pStyle w:val="5"/>
        <w:numPr>
          <w:ilvl w:val="0"/>
          <w:numId w:val="1"/>
        </w:numPr>
        <w:tabs>
          <w:tab w:val="left" w:pos="793"/>
        </w:tabs>
        <w:spacing w:before="43" w:after="0" w:line="240" w:lineRule="auto"/>
        <w:ind w:left="792" w:right="0" w:hanging="213"/>
        <w:jc w:val="left"/>
        <w:rPr>
          <w:sz w:val="21"/>
        </w:rPr>
      </w:pPr>
      <w:r>
        <w:rPr>
          <w:sz w:val="21"/>
        </w:rPr>
        <w:t>细胞的统一性与多样性</w:t>
      </w:r>
    </w:p>
    <w:p>
      <w:pPr>
        <w:pStyle w:val="2"/>
        <w:spacing w:before="43" w:line="278" w:lineRule="auto"/>
        <w:ind w:right="611" w:firstLine="419"/>
        <w:jc w:val="both"/>
      </w:pPr>
      <w:r>
        <w:rPr>
          <w:spacing w:val="-3"/>
        </w:rPr>
        <w:t>细胞的基本概念、新思考、一般结构、元素组成和大分子组成以及细胞的基本共性，病毒及其与细胞的关系；原核细胞的重要代表——支原体、细菌、蓝藻、古核细胞以及原核细胞与真核细胞的比较等内容。细胞生物学研究的模式生物及其特点。真核细胞的基本结构体系、细胞形态结构与功能的关系以及植物细胞与动物细胞的异同点。病毒、原核细胞、真核</w:t>
      </w:r>
      <w:r>
        <w:t>细胞的基本形态、结构与功能的关系、进化地位、共性和特性。</w:t>
      </w:r>
    </w:p>
    <w:p>
      <w:pPr>
        <w:pStyle w:val="5"/>
        <w:numPr>
          <w:ilvl w:val="0"/>
          <w:numId w:val="1"/>
        </w:numPr>
        <w:tabs>
          <w:tab w:val="left" w:pos="793"/>
        </w:tabs>
        <w:spacing w:before="0" w:after="0" w:line="240" w:lineRule="auto"/>
        <w:ind w:left="792" w:right="0" w:hanging="213"/>
        <w:jc w:val="left"/>
        <w:rPr>
          <w:sz w:val="21"/>
        </w:rPr>
      </w:pPr>
      <w:r>
        <w:rPr>
          <w:sz w:val="21"/>
        </w:rPr>
        <w:t>细胞生物学研究方法</w:t>
      </w:r>
    </w:p>
    <w:p>
      <w:pPr>
        <w:pStyle w:val="2"/>
        <w:spacing w:before="43" w:line="278" w:lineRule="auto"/>
        <w:ind w:right="611" w:firstLine="419"/>
        <w:jc w:val="both"/>
      </w:pPr>
      <w:r>
        <w:rPr>
          <w:spacing w:val="-3"/>
        </w:rPr>
        <w:t>细胞形态结构的观察方法，包括各种光镜、电镜的结构特点、技术性能、工作原理、适</w:t>
      </w:r>
      <w:r>
        <w:rPr>
          <w:spacing w:val="-4"/>
        </w:rPr>
        <w:t>用范围以及各自要求的制样技术及特点；细胞组分的分析方法，包括细胞及细胞组分的分离与纯化；特异蛋白质抗原的定位与定性；特异核酸的定位与定性以及同位素技术研究生物大</w:t>
      </w:r>
      <w:r>
        <w:rPr>
          <w:spacing w:val="-2"/>
        </w:rPr>
        <w:t>分子在细胞内的合成动态。细胞内核酸、蛋白质、酶、糖和脂等的显示方法；</w:t>
      </w:r>
      <w:r>
        <w:rPr>
          <w:spacing w:val="-1"/>
        </w:rPr>
        <w:t>DNA</w:t>
      </w:r>
      <w:r>
        <w:rPr>
          <w:spacing w:val="-13"/>
        </w:rPr>
        <w:t xml:space="preserve"> 与蛋白质</w:t>
      </w:r>
      <w:r>
        <w:rPr>
          <w:spacing w:val="-5"/>
        </w:rPr>
        <w:t>的体外吸附技术以及定量细胞化学分析技术。细胞培养技术及其应用，细胞工程和单克隆抗</w:t>
      </w:r>
      <w:r>
        <w:t>体，显微操作技术。各种研究方法的用途，基本原理，基本操作程序。</w:t>
      </w:r>
    </w:p>
    <w:p>
      <w:pPr>
        <w:pStyle w:val="5"/>
        <w:numPr>
          <w:ilvl w:val="0"/>
          <w:numId w:val="1"/>
        </w:numPr>
        <w:tabs>
          <w:tab w:val="left" w:pos="793"/>
        </w:tabs>
        <w:spacing w:before="0" w:after="0" w:line="268" w:lineRule="exact"/>
        <w:ind w:left="792" w:right="0" w:hanging="213"/>
        <w:jc w:val="left"/>
        <w:rPr>
          <w:sz w:val="21"/>
        </w:rPr>
      </w:pPr>
      <w:r>
        <w:rPr>
          <w:sz w:val="21"/>
        </w:rPr>
        <w:t>细胞质膜与细胞表面</w:t>
      </w:r>
    </w:p>
    <w:p>
      <w:pPr>
        <w:pStyle w:val="2"/>
        <w:spacing w:before="44" w:line="278" w:lineRule="auto"/>
        <w:ind w:right="517" w:firstLine="419"/>
      </w:pPr>
      <w:r>
        <w:t>细胞膜的结构模型、膜成分——膜脂、膜蛋白的运动（流动性与分布的不对称性等），</w:t>
      </w:r>
      <w:r>
        <w:rPr>
          <w:spacing w:val="-102"/>
        </w:rPr>
        <w:t xml:space="preserve"> </w:t>
      </w:r>
      <w:r>
        <w:rPr>
          <w:spacing w:val="-1"/>
        </w:rPr>
        <w:t>细胞质膜功能，细胞表面特化结构、及其产生及功能；细胞外被、细胞外基质</w:t>
      </w:r>
      <w:r>
        <w:t>（胶原，糖胺聚糖和蛋白聚糖，层粘连蛋白和纤连蛋白，弹性蛋白等）、细胞壁的产生、特点及功能。</w:t>
      </w:r>
      <w:r>
        <w:rPr>
          <w:spacing w:val="1"/>
        </w:rPr>
        <w:t xml:space="preserve"> </w:t>
      </w:r>
      <w:r>
        <w:t>4.物质跨膜运输与信息传递</w:t>
      </w:r>
    </w:p>
    <w:p>
      <w:pPr>
        <w:pStyle w:val="2"/>
        <w:spacing w:line="278" w:lineRule="auto"/>
        <w:ind w:right="611" w:firstLine="419"/>
        <w:jc w:val="both"/>
      </w:pPr>
      <w:r>
        <w:rPr>
          <w:spacing w:val="-3"/>
        </w:rPr>
        <w:t>物质跨膜运输的方式（主动运输，被动运输，胞吞作用和胞吐作用等</w:t>
      </w:r>
      <w:r>
        <w:rPr>
          <w:spacing w:val="-2"/>
        </w:rPr>
        <w:t>）、特点及其与细</w:t>
      </w:r>
      <w:r>
        <w:rPr>
          <w:spacing w:val="-3"/>
        </w:rPr>
        <w:t>胞生命活动的关系。细胞通讯和信号传递的方式、特点</w:t>
      </w:r>
      <w:r>
        <w:rPr>
          <w:spacing w:val="-2"/>
        </w:rPr>
        <w:t>（征）、规律及其与细胞生命活动的</w:t>
      </w:r>
      <w:r>
        <w:rPr>
          <w:spacing w:val="-3"/>
        </w:rPr>
        <w:t>关系。物质跨膜运输的基本方式，各方式的特点，物质选择性运输与细胞多种生命活动之间的关系，细胞识别，细胞通讯与信号传递的途径，涉及信号传递的细胞中的受体的种类，特</w:t>
      </w:r>
      <w:r>
        <w:t>征，信号传递中的信号分子及其作用规律等。</w:t>
      </w:r>
    </w:p>
    <w:p>
      <w:pPr>
        <w:pStyle w:val="5"/>
        <w:numPr>
          <w:ilvl w:val="0"/>
          <w:numId w:val="2"/>
        </w:numPr>
        <w:tabs>
          <w:tab w:val="left" w:pos="793"/>
        </w:tabs>
        <w:spacing w:before="0" w:after="0" w:line="269" w:lineRule="exact"/>
        <w:ind w:left="792" w:right="0" w:hanging="213"/>
        <w:jc w:val="left"/>
        <w:rPr>
          <w:sz w:val="21"/>
        </w:rPr>
      </w:pPr>
      <w:r>
        <w:rPr>
          <w:sz w:val="21"/>
        </w:rPr>
        <w:t>细胞质基质与细胞内膜系统</w:t>
      </w:r>
    </w:p>
    <w:p>
      <w:pPr>
        <w:pStyle w:val="2"/>
        <w:spacing w:before="42" w:line="278" w:lineRule="auto"/>
        <w:ind w:right="517" w:firstLine="419"/>
      </w:pPr>
      <w:r>
        <w:rPr>
          <w:spacing w:val="-1"/>
        </w:rPr>
        <w:t>细胞质基质（概念、功能），内质网类型、结构、功能和基因表达调控的关系，及蛋白</w:t>
      </w:r>
      <w:r>
        <w:t>质的分选——信号假说，高尔基复合体的形态结构和功能以及与细胞内膜泡运输中的作用；</w:t>
      </w:r>
      <w:r>
        <w:rPr>
          <w:spacing w:val="-102"/>
        </w:rPr>
        <w:t xml:space="preserve"> </w:t>
      </w:r>
      <w:r>
        <w:t>溶酶体类型、功能和生物发生以及微体。细胞结构体系的装配与蛋白质的分选之间的关系。内膜系统各成员的发生、功能及其相互关系。</w:t>
      </w:r>
    </w:p>
    <w:p>
      <w:pPr>
        <w:pStyle w:val="5"/>
        <w:numPr>
          <w:ilvl w:val="0"/>
          <w:numId w:val="2"/>
        </w:numPr>
        <w:tabs>
          <w:tab w:val="left" w:pos="793"/>
        </w:tabs>
        <w:spacing w:before="0" w:after="0" w:line="240" w:lineRule="auto"/>
        <w:ind w:left="792" w:right="0" w:hanging="213"/>
        <w:jc w:val="left"/>
        <w:rPr>
          <w:sz w:val="21"/>
        </w:rPr>
      </w:pPr>
      <w:r>
        <w:rPr>
          <w:sz w:val="21"/>
        </w:rPr>
        <w:t>细胞的能量转换——线粒体和叶绿体</w:t>
      </w:r>
    </w:p>
    <w:p>
      <w:pPr>
        <w:pStyle w:val="2"/>
        <w:spacing w:before="43" w:line="278" w:lineRule="auto"/>
        <w:ind w:right="611" w:firstLine="419"/>
      </w:pPr>
      <w:r>
        <w:rPr>
          <w:spacing w:val="-3"/>
        </w:rPr>
        <w:t>线粒体形态结构、化学组成及酶定位，叶绿体形态结构和化学组成，线粒体的氧化磷酸</w:t>
      </w:r>
      <w:r>
        <w:t>化和半自主性，叶绿体的功能——光合作用和半自主性，线粒体和叶绿体的增殖和起源。7.细胞核与染色体</w:t>
      </w:r>
    </w:p>
    <w:p>
      <w:pPr>
        <w:pStyle w:val="2"/>
        <w:spacing w:line="278" w:lineRule="auto"/>
        <w:ind w:right="611" w:firstLine="419"/>
        <w:jc w:val="both"/>
      </w:pPr>
      <w:r>
        <w:rPr>
          <w:spacing w:val="-3"/>
        </w:rPr>
        <w:t>核被膜、核孔复合体和核纤层。染色质类型、化学组成、染色质包装的结构模型，染色</w:t>
      </w:r>
      <w:r>
        <w:rPr>
          <w:spacing w:val="-11"/>
        </w:rPr>
        <w:t xml:space="preserve">体支架及核骨架；中期染色体的形态结构、染色体 </w:t>
      </w:r>
      <w:r>
        <w:rPr>
          <w:spacing w:val="-1"/>
        </w:rPr>
        <w:t>DNA</w:t>
      </w:r>
      <w:r>
        <w:rPr>
          <w:spacing w:val="-10"/>
        </w:rPr>
        <w:t xml:space="preserve"> 的关键序列、染色体核型与带型技术</w:t>
      </w:r>
      <w:r>
        <w:rPr>
          <w:spacing w:val="-3"/>
        </w:rPr>
        <w:t>及其运用，染色质结构与基因转录的关系，核基质与核体的概念。巨大染色体，核仁的超微</w:t>
      </w:r>
    </w:p>
    <w:p>
      <w:pPr>
        <w:spacing w:after="0" w:line="278" w:lineRule="auto"/>
        <w:jc w:val="both"/>
        <w:sectPr>
          <w:pgSz w:w="11910" w:h="16840"/>
          <w:pgMar w:top="1580" w:right="1180" w:bottom="1460" w:left="1220" w:header="0" w:footer="1234" w:gutter="0"/>
          <w:cols w:space="720" w:num="1"/>
        </w:sectPr>
      </w:pPr>
    </w:p>
    <w:p>
      <w:pPr>
        <w:pStyle w:val="2"/>
        <w:spacing w:before="44"/>
      </w:pPr>
      <w:r>
        <w:rPr>
          <w:spacing w:val="-1"/>
        </w:rPr>
        <w:t>结构和功能。细胞核和染色体的分子结构，染色质与染色体的关系。</w:t>
      </w:r>
    </w:p>
    <w:p>
      <w:pPr>
        <w:pStyle w:val="5"/>
        <w:numPr>
          <w:ilvl w:val="0"/>
          <w:numId w:val="3"/>
        </w:numPr>
        <w:tabs>
          <w:tab w:val="left" w:pos="793"/>
        </w:tabs>
        <w:spacing w:before="43" w:after="0" w:line="240" w:lineRule="auto"/>
        <w:ind w:left="792" w:right="0" w:hanging="213"/>
        <w:jc w:val="left"/>
        <w:rPr>
          <w:sz w:val="21"/>
        </w:rPr>
      </w:pPr>
      <w:r>
        <w:rPr>
          <w:sz w:val="21"/>
        </w:rPr>
        <w:t>核糖体</w:t>
      </w:r>
    </w:p>
    <w:p>
      <w:pPr>
        <w:pStyle w:val="2"/>
        <w:spacing w:before="43" w:line="278" w:lineRule="auto"/>
        <w:ind w:right="611" w:firstLine="419"/>
      </w:pPr>
      <w:r>
        <w:rPr>
          <w:spacing w:val="-1"/>
        </w:rPr>
        <w:t>核糖体的基本类型、结构与成分，多聚核糖体中蛋白质的合成。</w:t>
      </w:r>
      <w:r>
        <w:t>R</w:t>
      </w:r>
      <w:r>
        <w:rPr>
          <w:spacing w:val="-10"/>
        </w:rPr>
        <w:t xml:space="preserve">-蛋白和 </w:t>
      </w:r>
      <w:r>
        <w:t>rRNA</w:t>
      </w:r>
      <w:r>
        <w:rPr>
          <w:spacing w:val="-12"/>
        </w:rPr>
        <w:t xml:space="preserve"> 的功能</w:t>
      </w:r>
      <w:r>
        <w:rPr>
          <w:spacing w:val="-18"/>
        </w:rPr>
        <w:t xml:space="preserve">以及 </w:t>
      </w:r>
      <w:r>
        <w:t>RNA</w:t>
      </w:r>
      <w:r>
        <w:rPr>
          <w:spacing w:val="-8"/>
        </w:rPr>
        <w:t xml:space="preserve"> 在生命起源中的地位。</w:t>
      </w:r>
    </w:p>
    <w:p>
      <w:pPr>
        <w:pStyle w:val="5"/>
        <w:numPr>
          <w:ilvl w:val="0"/>
          <w:numId w:val="3"/>
        </w:numPr>
        <w:tabs>
          <w:tab w:val="left" w:pos="793"/>
        </w:tabs>
        <w:spacing w:before="0" w:after="0" w:line="269" w:lineRule="exact"/>
        <w:ind w:left="792" w:right="0" w:hanging="213"/>
        <w:jc w:val="left"/>
        <w:rPr>
          <w:sz w:val="21"/>
        </w:rPr>
      </w:pPr>
      <w:r>
        <w:rPr>
          <w:sz w:val="21"/>
        </w:rPr>
        <w:t>细胞骨架</w:t>
      </w:r>
    </w:p>
    <w:p>
      <w:pPr>
        <w:pStyle w:val="2"/>
        <w:spacing w:before="43" w:line="278" w:lineRule="auto"/>
        <w:ind w:right="611" w:firstLine="419"/>
        <w:jc w:val="both"/>
      </w:pPr>
      <w:r>
        <w:rPr>
          <w:spacing w:val="-3"/>
        </w:rPr>
        <w:t>细胞质骨架——微丝、微管、中间纤维的形态结构和功能。细胞核骨架</w:t>
      </w:r>
      <w:r>
        <w:rPr>
          <w:spacing w:val="-2"/>
        </w:rPr>
        <w:t>（核基质，染色</w:t>
      </w:r>
      <w:r>
        <w:rPr>
          <w:spacing w:val="-3"/>
        </w:rPr>
        <w:t>体支架，核纤层等</w:t>
      </w:r>
      <w:r>
        <w:rPr>
          <w:spacing w:val="-2"/>
        </w:rPr>
        <w:t>）。细胞骨架各成员的基本结构、形成、分布特点，以及它们与细胞多种</w:t>
      </w:r>
      <w:r>
        <w:t>生命活动之间的关系。</w:t>
      </w:r>
    </w:p>
    <w:p>
      <w:pPr>
        <w:pStyle w:val="5"/>
        <w:numPr>
          <w:ilvl w:val="0"/>
          <w:numId w:val="3"/>
        </w:numPr>
        <w:tabs>
          <w:tab w:val="left" w:pos="899"/>
        </w:tabs>
        <w:spacing w:before="0" w:after="0" w:line="269" w:lineRule="exact"/>
        <w:ind w:left="898" w:right="0" w:hanging="319"/>
        <w:jc w:val="left"/>
        <w:rPr>
          <w:sz w:val="21"/>
        </w:rPr>
      </w:pPr>
      <w:r>
        <w:rPr>
          <w:sz w:val="21"/>
        </w:rPr>
        <w:t>细胞增殖及其调控</w:t>
      </w:r>
    </w:p>
    <w:p>
      <w:pPr>
        <w:pStyle w:val="2"/>
        <w:spacing w:before="43" w:line="278" w:lineRule="auto"/>
        <w:ind w:right="510" w:firstLine="419"/>
        <w:jc w:val="both"/>
      </w:pPr>
      <w:r>
        <w:t>细胞周期的概念及划分的依据，细胞周期各时相及其发生在各时相的主要特征性事件。</w:t>
      </w:r>
      <w:r>
        <w:rPr>
          <w:spacing w:val="-15"/>
        </w:rPr>
        <w:t>细胞分裂，特别是有丝分裂和减数分裂过程、特点和规律，细胞周期调控因子及其作用规律，</w:t>
      </w:r>
      <w:r>
        <w:rPr>
          <w:spacing w:val="-103"/>
        </w:rPr>
        <w:t xml:space="preserve"> </w:t>
      </w:r>
      <w:r>
        <w:t>细胞周期运转的调控，其他内在和外在因素在细胞周期调控中的作用。</w:t>
      </w:r>
    </w:p>
    <w:p>
      <w:pPr>
        <w:pStyle w:val="5"/>
        <w:numPr>
          <w:ilvl w:val="0"/>
          <w:numId w:val="3"/>
        </w:numPr>
        <w:tabs>
          <w:tab w:val="left" w:pos="899"/>
        </w:tabs>
        <w:spacing w:before="1" w:after="0" w:line="240" w:lineRule="auto"/>
        <w:ind w:left="898" w:right="0" w:hanging="319"/>
        <w:jc w:val="left"/>
        <w:rPr>
          <w:sz w:val="21"/>
        </w:rPr>
      </w:pPr>
      <w:r>
        <w:rPr>
          <w:sz w:val="21"/>
        </w:rPr>
        <w:t>细胞分化与基因表达调控</w:t>
      </w:r>
    </w:p>
    <w:p>
      <w:pPr>
        <w:pStyle w:val="2"/>
        <w:spacing w:before="42" w:line="278" w:lineRule="auto"/>
        <w:ind w:right="611" w:firstLine="419"/>
        <w:jc w:val="both"/>
      </w:pPr>
      <w:r>
        <w:rPr>
          <w:spacing w:val="-5"/>
        </w:rPr>
        <w:t>细胞分化的概念、细胞发育的潜能、细胞质和细胞核在细胞分化中的作用以及影响细胞</w:t>
      </w:r>
      <w:r>
        <w:rPr>
          <w:spacing w:val="-3"/>
        </w:rPr>
        <w:t>分化的胞外因素，细胞分化与胚胎发育。癌细胞的主要特征、致癌因素和癌基因学说、癌基因与抑癌基因以及基因突变与肿瘤发生等。真核细胞基因表达的调控转录前、转录水平、转</w:t>
      </w:r>
      <w:r>
        <w:t>录后水平、翻译和翻译后加工水平的调控。</w:t>
      </w:r>
    </w:p>
    <w:p>
      <w:pPr>
        <w:pStyle w:val="5"/>
        <w:numPr>
          <w:ilvl w:val="0"/>
          <w:numId w:val="3"/>
        </w:numPr>
        <w:tabs>
          <w:tab w:val="left" w:pos="899"/>
        </w:tabs>
        <w:spacing w:before="0" w:after="0" w:line="269" w:lineRule="exact"/>
        <w:ind w:left="898" w:right="0" w:hanging="319"/>
        <w:jc w:val="left"/>
        <w:rPr>
          <w:sz w:val="21"/>
        </w:rPr>
      </w:pPr>
      <w:r>
        <w:rPr>
          <w:sz w:val="21"/>
        </w:rPr>
        <w:t>细胞的衰老与死亡</w:t>
      </w:r>
    </w:p>
    <w:p>
      <w:pPr>
        <w:pStyle w:val="2"/>
        <w:spacing w:before="43" w:line="278" w:lineRule="auto"/>
        <w:ind w:right="611" w:firstLine="419"/>
        <w:jc w:val="both"/>
      </w:pPr>
      <w:r>
        <w:rPr>
          <w:spacing w:val="-6"/>
        </w:rPr>
        <w:t xml:space="preserve">体外培养细胞的衰老与 </w:t>
      </w:r>
      <w:r>
        <w:t>Hayflick</w:t>
      </w:r>
      <w:r>
        <w:rPr>
          <w:spacing w:val="-8"/>
        </w:rPr>
        <w:t xml:space="preserve"> 界限、体内细胞的衰老及其特征及细胞衰老的原因，</w:t>
      </w:r>
      <w:r>
        <w:rPr>
          <w:spacing w:val="-103"/>
        </w:rPr>
        <w:t xml:space="preserve"> </w:t>
      </w:r>
      <w:r>
        <w:rPr>
          <w:spacing w:val="-3"/>
        </w:rPr>
        <w:t>分子机制与假说。细胞程序性死亡的概念、生物学意义，形态学和生物化学特征以及细胞凋</w:t>
      </w:r>
      <w:r>
        <w:t>亡的分子机制等，细胞凋亡与细胞衰老的关系。</w:t>
      </w:r>
    </w:p>
    <w:p>
      <w:pPr>
        <w:pStyle w:val="2"/>
        <w:spacing w:line="269" w:lineRule="exact"/>
      </w:pPr>
      <w:r>
        <w:t>三、考试形式及时间</w:t>
      </w:r>
    </w:p>
    <w:p>
      <w:pPr>
        <w:pStyle w:val="2"/>
        <w:spacing w:before="43" w:line="278" w:lineRule="auto"/>
        <w:ind w:right="611" w:firstLine="419"/>
      </w:pPr>
      <w:r>
        <w:rPr>
          <w:spacing w:val="-6"/>
        </w:rPr>
        <w:t xml:space="preserve">硕士研究生入学考试为笔试，考试时间为 </w:t>
      </w:r>
      <w:r>
        <w:rPr>
          <w:spacing w:val="-3"/>
        </w:rPr>
        <w:t>3</w:t>
      </w:r>
      <w:r>
        <w:rPr>
          <w:spacing w:val="-10"/>
        </w:rPr>
        <w:t xml:space="preserve"> 小时。试卷务必书写清楚、符号和西文字母</w:t>
      </w:r>
      <w:r>
        <w:t>运用得当。不得在试题上答卷。</w:t>
      </w:r>
    </w:p>
    <w:p>
      <w:pPr>
        <w:pStyle w:val="2"/>
        <w:spacing w:before="1"/>
      </w:pPr>
      <w:r>
        <w:t>四、参考书目：</w:t>
      </w:r>
    </w:p>
    <w:p>
      <w:pPr>
        <w:pStyle w:val="5"/>
        <w:numPr>
          <w:ilvl w:val="0"/>
          <w:numId w:val="4"/>
        </w:numPr>
        <w:tabs>
          <w:tab w:val="left" w:pos="1003"/>
        </w:tabs>
        <w:spacing w:before="42" w:after="0" w:line="240" w:lineRule="auto"/>
        <w:ind w:left="1002" w:right="0" w:hanging="423"/>
        <w:jc w:val="left"/>
        <w:rPr>
          <w:sz w:val="21"/>
        </w:rPr>
      </w:pPr>
      <w:r>
        <w:rPr>
          <w:spacing w:val="-5"/>
          <w:sz w:val="21"/>
        </w:rPr>
        <w:t xml:space="preserve">丁明孝等.细胞生物学(第 </w:t>
      </w:r>
      <w:r>
        <w:rPr>
          <w:sz w:val="21"/>
        </w:rPr>
        <w:t>5</w:t>
      </w:r>
      <w:r>
        <w:rPr>
          <w:spacing w:val="-8"/>
          <w:sz w:val="21"/>
        </w:rPr>
        <w:t xml:space="preserve"> 版)，高等教育出版社</w:t>
      </w:r>
      <w:r>
        <w:rPr>
          <w:sz w:val="21"/>
        </w:rPr>
        <w:t>，2020.</w:t>
      </w:r>
    </w:p>
    <w:p>
      <w:pPr>
        <w:pStyle w:val="5"/>
        <w:numPr>
          <w:ilvl w:val="0"/>
          <w:numId w:val="4"/>
        </w:numPr>
        <w:tabs>
          <w:tab w:val="left" w:pos="1003"/>
        </w:tabs>
        <w:spacing w:before="43" w:after="0" w:line="240" w:lineRule="auto"/>
        <w:ind w:left="1002" w:right="0" w:hanging="423"/>
        <w:jc w:val="left"/>
        <w:rPr>
          <w:sz w:val="21"/>
        </w:rPr>
      </w:pPr>
      <w:r>
        <w:rPr>
          <w:spacing w:val="-1"/>
          <w:sz w:val="21"/>
        </w:rPr>
        <w:t>朱玉贤等.现代分子生物学</w:t>
      </w:r>
      <w:r>
        <w:rPr>
          <w:sz w:val="21"/>
        </w:rPr>
        <w:t>（</w:t>
      </w:r>
      <w:r>
        <w:rPr>
          <w:spacing w:val="-26"/>
          <w:sz w:val="21"/>
        </w:rPr>
        <w:t xml:space="preserve">第 </w:t>
      </w:r>
      <w:r>
        <w:rPr>
          <w:sz w:val="21"/>
        </w:rPr>
        <w:t>5</w:t>
      </w:r>
      <w:r>
        <w:rPr>
          <w:spacing w:val="-28"/>
          <w:sz w:val="21"/>
        </w:rPr>
        <w:t xml:space="preserve"> 版</w:t>
      </w:r>
      <w:r>
        <w:rPr>
          <w:sz w:val="21"/>
        </w:rPr>
        <w:t>），高等教育出版社，2019</w:t>
      </w:r>
    </w:p>
    <w:p>
      <w:pPr>
        <w:pStyle w:val="5"/>
        <w:numPr>
          <w:ilvl w:val="0"/>
          <w:numId w:val="4"/>
        </w:numPr>
        <w:tabs>
          <w:tab w:val="left" w:pos="1003"/>
        </w:tabs>
        <w:spacing w:before="43" w:after="0" w:line="240" w:lineRule="auto"/>
        <w:ind w:left="1002" w:right="0" w:hanging="423"/>
        <w:jc w:val="left"/>
        <w:rPr>
          <w:sz w:val="21"/>
        </w:rPr>
      </w:pPr>
      <w:r>
        <w:rPr>
          <w:spacing w:val="-5"/>
          <w:sz w:val="21"/>
        </w:rPr>
        <w:t xml:space="preserve">杨焕明译.基因的分子生物学(第 </w:t>
      </w:r>
      <w:r>
        <w:rPr>
          <w:sz w:val="21"/>
        </w:rPr>
        <w:t>7</w:t>
      </w:r>
      <w:r>
        <w:rPr>
          <w:spacing w:val="-8"/>
          <w:sz w:val="21"/>
        </w:rPr>
        <w:t xml:space="preserve"> 版)，科学出版社，</w:t>
      </w:r>
      <w:r>
        <w:rPr>
          <w:sz w:val="21"/>
        </w:rPr>
        <w:t>2015.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60BE57"/>
    <w:multiLevelType w:val="multilevel"/>
    <w:tmpl w:val="C560BE57"/>
    <w:lvl w:ilvl="0" w:tentative="0">
      <w:start w:val="5"/>
      <w:numFmt w:val="decimal"/>
      <w:lvlText w:val="%1."/>
      <w:lvlJc w:val="left"/>
      <w:pPr>
        <w:ind w:left="792" w:hanging="213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70" w:hanging="21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41" w:hanging="21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11" w:hanging="21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282" w:hanging="21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153" w:hanging="21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023" w:hanging="21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894" w:hanging="21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65" w:hanging="213"/>
      </w:pPr>
      <w:rPr>
        <w:rFonts w:hint="default"/>
        <w:lang w:val="en-US" w:eastAsia="zh-CN" w:bidi="ar-SA"/>
      </w:rPr>
    </w:lvl>
  </w:abstractNum>
  <w:abstractNum w:abstractNumId="1">
    <w:nsid w:val="E4D85DB5"/>
    <w:multiLevelType w:val="multilevel"/>
    <w:tmpl w:val="E4D85DB5"/>
    <w:lvl w:ilvl="0" w:tentative="0">
      <w:start w:val="1"/>
      <w:numFmt w:val="decimal"/>
      <w:lvlText w:val="[%1]"/>
      <w:lvlJc w:val="left"/>
      <w:pPr>
        <w:ind w:left="1002" w:hanging="423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 w:tentative="0">
      <w:start w:val="1"/>
      <w:numFmt w:val="decimal"/>
      <w:lvlText w:val="%2)"/>
      <w:lvlJc w:val="left"/>
      <w:pPr>
        <w:ind w:left="580" w:hanging="317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945" w:hanging="317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890" w:hanging="317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835" w:hanging="317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80" w:hanging="317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25" w:hanging="317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70" w:hanging="317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616" w:hanging="317"/>
      </w:pPr>
      <w:rPr>
        <w:rFonts w:hint="default"/>
        <w:lang w:val="en-US" w:eastAsia="zh-CN" w:bidi="ar-SA"/>
      </w:rPr>
    </w:lvl>
  </w:abstractNum>
  <w:abstractNum w:abstractNumId="2">
    <w:nsid w:val="1DEB737C"/>
    <w:multiLevelType w:val="multilevel"/>
    <w:tmpl w:val="1DEB737C"/>
    <w:lvl w:ilvl="0" w:tentative="0">
      <w:start w:val="8"/>
      <w:numFmt w:val="decimal"/>
      <w:lvlText w:val="%1."/>
      <w:lvlJc w:val="left"/>
      <w:pPr>
        <w:ind w:left="792" w:hanging="213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70" w:hanging="21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41" w:hanging="21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11" w:hanging="21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282" w:hanging="21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153" w:hanging="21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023" w:hanging="21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894" w:hanging="21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65" w:hanging="213"/>
      </w:pPr>
      <w:rPr>
        <w:rFonts w:hint="default"/>
        <w:lang w:val="en-US" w:eastAsia="zh-CN" w:bidi="ar-SA"/>
      </w:rPr>
    </w:lvl>
  </w:abstractNum>
  <w:abstractNum w:abstractNumId="3">
    <w:nsid w:val="446EAEE1"/>
    <w:multiLevelType w:val="multilevel"/>
    <w:tmpl w:val="446EAEE1"/>
    <w:lvl w:ilvl="0" w:tentative="0">
      <w:start w:val="1"/>
      <w:numFmt w:val="decimal"/>
      <w:lvlText w:val="%1."/>
      <w:lvlJc w:val="left"/>
      <w:pPr>
        <w:ind w:left="792" w:hanging="213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-1"/>
        <w:w w:val="100"/>
        <w:sz w:val="19"/>
        <w:szCs w:val="19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670" w:hanging="21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41" w:hanging="21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411" w:hanging="21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282" w:hanging="21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153" w:hanging="21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023" w:hanging="21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894" w:hanging="21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65" w:hanging="213"/>
      </w:pPr>
      <w:rPr>
        <w:rFonts w:hint="default"/>
        <w:lang w:val="en-US" w:eastAsia="zh-CN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YWNkZDgzYzBiYTI3MTMwOTI2MGI5ZTVmNjZjYjkifQ=="/>
  </w:docVars>
  <w:rsids>
    <w:rsidRoot w:val="00000000"/>
    <w:rsid w:val="59C1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580"/>
    </w:pPr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5">
    <w:name w:val="List Paragraph"/>
    <w:basedOn w:val="1"/>
    <w:qFormat/>
    <w:uiPriority w:val="1"/>
    <w:pPr>
      <w:spacing w:before="43"/>
      <w:ind w:left="580" w:hanging="213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2023-12-20T06:55:13Z</dcterms:created>
  <dc:creator>125</dc:creator>
  <cp:lastModifiedBy>happy</cp:lastModifiedBy>
  <dcterms:modified xsi:type="dcterms:W3CDTF">2023-12-20T06:55:22Z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06A038403439430B858899E3C52FEC49_12</vt:lpwstr>
  </property>
</Properties>
</file>